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B701E">
      <w:pPr>
        <w:jc w:val="center"/>
        <w:rPr>
          <w:rFonts w:hint="eastAsia" w:ascii="宋体" w:hAnsi="宋体" w:eastAsia="宋体" w:cs="宋体"/>
          <w:b/>
          <w:color w:val="000000"/>
          <w:sz w:val="84"/>
          <w:szCs w:val="84"/>
        </w:rPr>
      </w:pPr>
      <w:r>
        <w:rPr>
          <w:rFonts w:hint="eastAsia" w:ascii="宋体" w:hAnsi="宋体" w:eastAsia="宋体" w:cs="宋体"/>
          <w:b/>
          <w:color w:val="000000"/>
          <w:sz w:val="84"/>
          <w:szCs w:val="84"/>
        </w:rPr>
        <w:t>怀化市第五人民医院</w:t>
      </w:r>
    </w:p>
    <w:p w14:paraId="40F4304F">
      <w:pPr>
        <w:jc w:val="center"/>
        <w:rPr>
          <w:rFonts w:hint="eastAsia" w:ascii="宋体" w:hAnsi="宋体" w:eastAsia="宋体" w:cs="宋体"/>
          <w:sz w:val="84"/>
          <w:szCs w:val="84"/>
        </w:rPr>
      </w:pPr>
      <w:r>
        <w:rPr>
          <w:rFonts w:hint="eastAsia" w:ascii="宋体" w:hAnsi="宋体" w:eastAsia="宋体" w:cs="宋体"/>
          <w:b/>
          <w:color w:val="000000"/>
          <w:sz w:val="84"/>
          <w:szCs w:val="84"/>
        </w:rPr>
        <w:t>招标文件</w:t>
      </w:r>
    </w:p>
    <w:p w14:paraId="2AEF0BE4">
      <w:pPr>
        <w:pStyle w:val="2"/>
        <w:ind w:firstLine="452" w:firstLineChars="150"/>
        <w:jc w:val="center"/>
        <w:rPr>
          <w:rFonts w:ascii="仿宋" w:hAnsi="仿宋" w:eastAsia="仿宋" w:cs="仿宋"/>
          <w:b/>
          <w:sz w:val="30"/>
          <w:szCs w:val="30"/>
        </w:rPr>
      </w:pPr>
    </w:p>
    <w:p w14:paraId="32BEA6A5">
      <w:pPr>
        <w:pStyle w:val="2"/>
        <w:ind w:firstLine="452" w:firstLineChars="150"/>
        <w:jc w:val="center"/>
        <w:rPr>
          <w:rFonts w:ascii="仿宋" w:hAnsi="仿宋" w:eastAsia="仿宋" w:cs="仿宋"/>
          <w:b/>
          <w:sz w:val="30"/>
          <w:szCs w:val="30"/>
        </w:rPr>
      </w:pPr>
    </w:p>
    <w:p w14:paraId="236FC0E9">
      <w:pPr>
        <w:pStyle w:val="2"/>
        <w:ind w:firstLine="452" w:firstLineChars="150"/>
        <w:jc w:val="center"/>
        <w:rPr>
          <w:rFonts w:ascii="仿宋" w:hAnsi="仿宋" w:eastAsia="仿宋" w:cs="仿宋"/>
          <w:b/>
          <w:sz w:val="30"/>
          <w:szCs w:val="30"/>
        </w:rPr>
      </w:pPr>
    </w:p>
    <w:p w14:paraId="4D90FF83">
      <w:pPr>
        <w:pStyle w:val="2"/>
        <w:ind w:firstLine="452" w:firstLineChars="150"/>
        <w:jc w:val="center"/>
        <w:rPr>
          <w:rFonts w:ascii="仿宋" w:hAnsi="仿宋" w:eastAsia="仿宋" w:cs="仿宋"/>
          <w:b/>
          <w:sz w:val="30"/>
          <w:szCs w:val="30"/>
        </w:rPr>
      </w:pPr>
    </w:p>
    <w:p w14:paraId="59BAFC7C">
      <w:pPr>
        <w:pStyle w:val="2"/>
        <w:ind w:firstLine="452" w:firstLineChars="150"/>
        <w:jc w:val="center"/>
        <w:rPr>
          <w:rFonts w:ascii="仿宋" w:hAnsi="仿宋" w:eastAsia="仿宋" w:cs="仿宋"/>
          <w:b/>
          <w:bCs w:val="0"/>
          <w:sz w:val="30"/>
          <w:szCs w:val="30"/>
        </w:rPr>
      </w:pPr>
    </w:p>
    <w:p w14:paraId="1049646C">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 w:hAnsi="仿宋" w:eastAsia="仿宋" w:cs="仿宋"/>
          <w:b/>
          <w:bCs w:val="0"/>
          <w:color w:val="000000"/>
          <w:kern w:val="0"/>
          <w:sz w:val="30"/>
          <w:szCs w:val="30"/>
          <w:lang w:val="en-US" w:eastAsia="zh-CN"/>
        </w:rPr>
      </w:pPr>
      <w:r>
        <w:rPr>
          <w:rFonts w:hint="eastAsia" w:ascii="仿宋" w:hAnsi="仿宋" w:eastAsia="仿宋" w:cs="仿宋"/>
          <w:b/>
          <w:bCs w:val="0"/>
          <w:sz w:val="32"/>
          <w:szCs w:val="32"/>
        </w:rPr>
        <w:t>采购项目名称：</w:t>
      </w:r>
      <w:bookmarkStart w:id="24" w:name="_GoBack"/>
      <w:r>
        <w:rPr>
          <w:rFonts w:hint="eastAsia" w:ascii="仿宋" w:hAnsi="仿宋" w:eastAsia="仿宋" w:cs="仿宋"/>
          <w:b/>
          <w:bCs w:val="0"/>
          <w:color w:val="000000"/>
          <w:kern w:val="0"/>
          <w:sz w:val="30"/>
          <w:szCs w:val="30"/>
          <w:lang w:val="en-US" w:eastAsia="zh-CN"/>
        </w:rPr>
        <w:t>怀化市第五人民医院除颤起搏监护仪采购</w:t>
      </w:r>
      <w:bookmarkEnd w:id="24"/>
    </w:p>
    <w:p w14:paraId="310445BB">
      <w:pPr>
        <w:pStyle w:val="5"/>
        <w:keepNext w:val="0"/>
        <w:keepLines w:val="0"/>
        <w:pageBreakBefore w:val="0"/>
        <w:widowControl w:val="0"/>
        <w:kinsoku/>
        <w:wordWrap/>
        <w:overflowPunct/>
        <w:topLinePunct w:val="0"/>
        <w:autoSpaceDE/>
        <w:autoSpaceDN/>
        <w:bidi w:val="0"/>
        <w:adjustRightInd w:val="0"/>
        <w:snapToGrid w:val="0"/>
        <w:spacing w:line="560" w:lineRule="exact"/>
        <w:ind w:left="2172" w:leftChars="0" w:hanging="2172" w:hangingChars="676"/>
        <w:jc w:val="center"/>
        <w:textAlignment w:val="auto"/>
        <w:rPr>
          <w:rFonts w:ascii="仿宋" w:hAnsi="仿宋" w:eastAsia="仿宋" w:cs="仿宋"/>
          <w:b/>
          <w:bCs w:val="0"/>
          <w:sz w:val="32"/>
          <w:szCs w:val="32"/>
        </w:rPr>
      </w:pPr>
    </w:p>
    <w:p w14:paraId="54979A18">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ascii="仿宋" w:hAnsi="仿宋" w:eastAsia="仿宋" w:cs="仿宋"/>
          <w:b/>
          <w:bCs w:val="0"/>
          <w:color w:val="FF0000"/>
          <w:sz w:val="32"/>
          <w:szCs w:val="32"/>
        </w:rPr>
      </w:pPr>
      <w:r>
        <w:rPr>
          <w:rFonts w:hint="eastAsia" w:ascii="仿宋" w:hAnsi="仿宋" w:eastAsia="仿宋" w:cs="仿宋"/>
          <w:b/>
          <w:bCs w:val="0"/>
          <w:sz w:val="32"/>
          <w:szCs w:val="32"/>
        </w:rPr>
        <w:t>采   购   人：怀化市第五人民医院</w:t>
      </w:r>
    </w:p>
    <w:p w14:paraId="7365FDF2">
      <w:pPr>
        <w:pStyle w:val="5"/>
        <w:keepNext w:val="0"/>
        <w:keepLines w:val="0"/>
        <w:pageBreakBefore w:val="0"/>
        <w:widowControl w:val="0"/>
        <w:kinsoku/>
        <w:wordWrap/>
        <w:overflowPunct/>
        <w:topLinePunct w:val="0"/>
        <w:autoSpaceDE/>
        <w:autoSpaceDN/>
        <w:bidi w:val="0"/>
        <w:adjustRightInd w:val="0"/>
        <w:snapToGrid w:val="0"/>
        <w:spacing w:line="560" w:lineRule="exact"/>
        <w:ind w:left="1208" w:leftChars="0" w:hanging="1208" w:hangingChars="376"/>
        <w:jc w:val="center"/>
        <w:textAlignment w:val="auto"/>
        <w:rPr>
          <w:rFonts w:ascii="仿宋" w:hAnsi="仿宋" w:eastAsia="仿宋" w:cs="仿宋"/>
          <w:b/>
          <w:bCs w:val="0"/>
          <w:sz w:val="32"/>
          <w:szCs w:val="32"/>
        </w:rPr>
      </w:pPr>
    </w:p>
    <w:p w14:paraId="2121EAC2">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rPr>
        <w:t>采  购 编 号：</w:t>
      </w:r>
      <w:r>
        <w:rPr>
          <w:rFonts w:hint="eastAsia" w:ascii="仿宋" w:hAnsi="仿宋" w:eastAsia="仿宋" w:cs="仿宋"/>
          <w:b/>
          <w:bCs w:val="0"/>
          <w:sz w:val="32"/>
          <w:szCs w:val="32"/>
          <w:lang w:val="en-US" w:eastAsia="zh-CN"/>
        </w:rPr>
        <w:t>2026014</w:t>
      </w:r>
    </w:p>
    <w:p w14:paraId="0FC06CE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2114C8F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53B5812F">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仿宋" w:hAnsi="仿宋" w:eastAsia="仿宋" w:cs="仿宋"/>
          <w:b/>
          <w:bCs w:val="0"/>
          <w:sz w:val="32"/>
          <w:szCs w:val="32"/>
          <w:lang w:val="en-US" w:eastAsia="zh-CN"/>
        </w:rPr>
      </w:pPr>
    </w:p>
    <w:p w14:paraId="6DF7F665">
      <w:pPr>
        <w:tabs>
          <w:tab w:val="left" w:pos="709"/>
        </w:tabs>
        <w:spacing w:line="360" w:lineRule="auto"/>
        <w:ind w:left="700"/>
        <w:jc w:val="center"/>
        <w:rPr>
          <w:rFonts w:hint="eastAsia" w:ascii="宋体" w:hAnsi="宋体" w:eastAsia="宋体" w:cs="宋体"/>
          <w:b/>
          <w:bCs/>
          <w:sz w:val="44"/>
          <w:szCs w:val="44"/>
        </w:rPr>
      </w:pPr>
    </w:p>
    <w:p w14:paraId="2FBB8088">
      <w:pPr>
        <w:tabs>
          <w:tab w:val="left" w:pos="709"/>
        </w:tabs>
        <w:spacing w:line="360" w:lineRule="auto"/>
        <w:ind w:left="700"/>
        <w:jc w:val="center"/>
        <w:rPr>
          <w:rFonts w:hint="eastAsia" w:ascii="宋体" w:hAnsi="宋体" w:eastAsia="宋体" w:cs="宋体"/>
          <w:b/>
          <w:bCs/>
          <w:sz w:val="44"/>
          <w:szCs w:val="44"/>
        </w:rPr>
      </w:pPr>
    </w:p>
    <w:p w14:paraId="210B3A75">
      <w:pPr>
        <w:tabs>
          <w:tab w:val="left" w:pos="709"/>
        </w:tabs>
        <w:spacing w:line="360" w:lineRule="auto"/>
        <w:ind w:left="700"/>
        <w:jc w:val="center"/>
        <w:rPr>
          <w:rFonts w:hint="eastAsia" w:ascii="宋体" w:hAnsi="宋体" w:eastAsia="宋体" w:cs="宋体"/>
          <w:b/>
          <w:bCs/>
          <w:sz w:val="44"/>
          <w:szCs w:val="44"/>
        </w:rPr>
      </w:pPr>
    </w:p>
    <w:p w14:paraId="66B32337">
      <w:pPr>
        <w:tabs>
          <w:tab w:val="left" w:pos="709"/>
        </w:tabs>
        <w:spacing w:line="360" w:lineRule="auto"/>
        <w:ind w:left="700"/>
        <w:jc w:val="center"/>
        <w:rPr>
          <w:rFonts w:hint="eastAsia" w:ascii="宋体" w:hAnsi="宋体" w:eastAsia="宋体" w:cs="宋体"/>
          <w:sz w:val="44"/>
          <w:szCs w:val="44"/>
        </w:rPr>
      </w:pPr>
      <w:r>
        <w:rPr>
          <w:rFonts w:hint="eastAsia" w:ascii="宋体" w:hAnsi="宋体" w:eastAsia="宋体" w:cs="宋体"/>
          <w:b/>
          <w:bCs/>
          <w:sz w:val="44"/>
          <w:szCs w:val="44"/>
        </w:rPr>
        <w:t>目   录</w:t>
      </w:r>
    </w:p>
    <w:p w14:paraId="4F84216D">
      <w:pPr>
        <w:pStyle w:val="8"/>
        <w:keepNext w:val="0"/>
        <w:keepLines w:val="0"/>
        <w:pageBreakBefore w:val="0"/>
        <w:widowControl w:val="0"/>
        <w:tabs>
          <w:tab w:val="right" w:leader="dot" w:pos="9780"/>
        </w:tabs>
        <w:kinsoku/>
        <w:wordWrap/>
        <w:overflowPunct/>
        <w:topLinePunct w:val="0"/>
        <w:autoSpaceDE/>
        <w:autoSpaceDN/>
        <w:bidi w:val="0"/>
        <w:adjustRightInd/>
        <w:snapToGrid/>
        <w:spacing w:before="0" w:after="0" w:line="560" w:lineRule="exact"/>
        <w:ind w:left="0" w:right="0"/>
        <w:textAlignment w:val="auto"/>
        <w:rPr>
          <w:rFonts w:ascii="仿宋" w:hAnsi="仿宋" w:eastAsia="仿宋" w:cs="仿宋"/>
          <w:sz w:val="30"/>
          <w:szCs w:val="30"/>
        </w:rPr>
      </w:pPr>
      <w:r>
        <w:rPr>
          <w:rFonts w:hint="eastAsia" w:ascii="仿宋" w:hAnsi="仿宋" w:eastAsia="仿宋" w:cs="仿宋"/>
          <w:b w:val="0"/>
          <w:bCs w:val="0"/>
          <w:sz w:val="30"/>
          <w:szCs w:val="30"/>
        </w:rPr>
        <w:fldChar w:fldCharType="begin"/>
      </w:r>
      <w:r>
        <w:rPr>
          <w:rStyle w:val="13"/>
          <w:rFonts w:hint="eastAsia" w:ascii="仿宋" w:hAnsi="仿宋" w:eastAsia="仿宋" w:cs="仿宋"/>
          <w:b w:val="0"/>
          <w:bCs w:val="0"/>
          <w:color w:val="auto"/>
          <w:sz w:val="30"/>
          <w:szCs w:val="30"/>
        </w:rPr>
        <w:instrText xml:space="preserve"> TOC \o "1-1" \h \z \u </w:instrText>
      </w:r>
      <w:r>
        <w:rPr>
          <w:rFonts w:hint="eastAsia" w:ascii="仿宋" w:hAnsi="仿宋" w:eastAsia="仿宋" w:cs="仿宋"/>
          <w:b w:val="0"/>
          <w:bCs w:val="0"/>
          <w:sz w:val="30"/>
          <w:szCs w:val="30"/>
        </w:rPr>
        <w:fldChar w:fldCharType="separate"/>
      </w:r>
    </w:p>
    <w:p w14:paraId="3C7037E0">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"_Toc32084"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第一章  采购公告</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rPr>
        <w:t>3</w:t>
      </w:r>
    </w:p>
    <w:p w14:paraId="5764AFA8">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"_Toc3942"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第二章  投标资料表</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5</w:t>
      </w:r>
    </w:p>
    <w:p w14:paraId="5739AA0D">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"_Toc27840"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第三章  评价体系与标准</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7</w:t>
      </w:r>
    </w:p>
    <w:p w14:paraId="4F932370">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"_Toc27840"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w:t>
      </w:r>
      <w:r>
        <w:rPr>
          <w:rFonts w:hint="eastAsia" w:ascii="仿宋" w:hAnsi="仿宋" w:eastAsia="仿宋" w:cs="仿宋"/>
          <w:b/>
          <w:bCs/>
          <w:sz w:val="28"/>
          <w:szCs w:val="28"/>
          <w:lang w:eastAsia="zh-CN"/>
        </w:rPr>
        <w:t>四</w:t>
      </w:r>
      <w:r>
        <w:rPr>
          <w:rFonts w:hint="eastAsia" w:ascii="仿宋" w:hAnsi="仿宋" w:eastAsia="仿宋" w:cs="仿宋"/>
          <w:b/>
          <w:bCs/>
          <w:sz w:val="28"/>
          <w:szCs w:val="28"/>
        </w:rPr>
        <w:t>章  技术参数说明</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9</w:t>
      </w:r>
    </w:p>
    <w:p w14:paraId="02160698">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ascii="仿宋" w:hAnsi="仿宋" w:eastAsia="仿宋" w:cs="仿宋"/>
          <w:sz w:val="30"/>
          <w:szCs w:val="30"/>
        </w:rPr>
      </w:pPr>
    </w:p>
    <w:p w14:paraId="78B64B49">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r>
        <w:rPr>
          <w:rFonts w:hint="eastAsia" w:ascii="仿宋" w:hAnsi="仿宋" w:eastAsia="仿宋" w:cs="仿宋"/>
          <w:b/>
          <w:bCs/>
          <w:sz w:val="30"/>
          <w:szCs w:val="30"/>
        </w:rPr>
        <w:fldChar w:fldCharType="end"/>
      </w:r>
      <w:bookmarkStart w:id="0" w:name="_Toc435514842"/>
    </w:p>
    <w:p w14:paraId="5964B3D1">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6EA07381">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5A9732EB">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6255CD4A">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1A86CF77">
      <w:pPr>
        <w:keepNext w:val="0"/>
        <w:keepLines w:val="0"/>
        <w:pageBreakBefore w:val="0"/>
        <w:widowControl w:val="0"/>
        <w:tabs>
          <w:tab w:val="left" w:pos="3405"/>
        </w:tabs>
        <w:kinsoku/>
        <w:wordWrap/>
        <w:overflowPunct/>
        <w:topLinePunct w:val="0"/>
        <w:bidi w:val="0"/>
        <w:spacing w:line="560" w:lineRule="exact"/>
        <w:ind w:left="0" w:right="0"/>
        <w:jc w:val="left"/>
        <w:textAlignment w:val="auto"/>
        <w:rPr>
          <w:rStyle w:val="13"/>
          <w:rFonts w:hint="eastAsia" w:ascii="仿宋" w:hAnsi="仿宋" w:eastAsia="仿宋" w:cs="仿宋"/>
          <w:b/>
          <w:bCs/>
          <w:color w:val="auto"/>
          <w:sz w:val="30"/>
          <w:szCs w:val="30"/>
          <w:lang w:eastAsia="zh-CN"/>
        </w:rPr>
      </w:pPr>
    </w:p>
    <w:p w14:paraId="228226FD">
      <w:pPr>
        <w:keepNext w:val="0"/>
        <w:keepLines w:val="0"/>
        <w:pageBreakBefore w:val="0"/>
        <w:widowControl w:val="0"/>
        <w:tabs>
          <w:tab w:val="left" w:pos="3405"/>
        </w:tabs>
        <w:kinsoku/>
        <w:wordWrap/>
        <w:overflowPunct/>
        <w:topLinePunct w:val="0"/>
        <w:bidi w:val="0"/>
        <w:spacing w:line="560" w:lineRule="exact"/>
        <w:ind w:left="0" w:right="0"/>
        <w:jc w:val="left"/>
        <w:textAlignment w:val="auto"/>
        <w:rPr>
          <w:rStyle w:val="13"/>
          <w:rFonts w:hint="eastAsia" w:ascii="仿宋" w:hAnsi="仿宋" w:eastAsia="仿宋" w:cs="仿宋"/>
          <w:b/>
          <w:bCs/>
          <w:color w:val="auto"/>
          <w:sz w:val="30"/>
          <w:szCs w:val="30"/>
          <w:lang w:eastAsia="zh-CN"/>
        </w:rPr>
      </w:pPr>
    </w:p>
    <w:p w14:paraId="32F37D0B">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392FA345">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4E06BF6C">
      <w:pPr>
        <w:keepNext w:val="0"/>
        <w:keepLines w:val="0"/>
        <w:pageBreakBefore w:val="0"/>
        <w:widowControl w:val="0"/>
        <w:kinsoku/>
        <w:wordWrap/>
        <w:overflowPunct/>
        <w:topLinePunct w:val="0"/>
        <w:bidi w:val="0"/>
        <w:spacing w:line="560" w:lineRule="exact"/>
        <w:ind w:left="0" w:right="0"/>
        <w:jc w:val="center"/>
        <w:textAlignment w:val="auto"/>
        <w:rPr>
          <w:rFonts w:ascii="仿宋" w:hAnsi="仿宋" w:eastAsia="仿宋" w:cs="仿宋"/>
          <w:b/>
          <w:bCs/>
          <w:sz w:val="30"/>
          <w:szCs w:val="30"/>
          <w:u w:val="single"/>
        </w:rPr>
      </w:pPr>
    </w:p>
    <w:p w14:paraId="062D7296">
      <w:pPr>
        <w:pStyle w:val="3"/>
        <w:keepNext w:val="0"/>
        <w:keepLines w:val="0"/>
        <w:pageBreakBefore w:val="0"/>
        <w:widowControl w:val="0"/>
        <w:kinsoku/>
        <w:wordWrap/>
        <w:overflowPunct/>
        <w:topLinePunct w:val="0"/>
        <w:bidi w:val="0"/>
        <w:spacing w:line="560" w:lineRule="exact"/>
        <w:ind w:left="0" w:right="0"/>
        <w:textAlignment w:val="auto"/>
        <w:rPr>
          <w:rFonts w:ascii="仿宋" w:hAnsi="仿宋" w:eastAsia="仿宋" w:cs="仿宋"/>
          <w:b/>
          <w:bCs/>
          <w:sz w:val="30"/>
          <w:szCs w:val="30"/>
          <w:u w:val="single"/>
        </w:rPr>
      </w:pPr>
    </w:p>
    <w:bookmarkEnd w:id="0"/>
    <w:p w14:paraId="33C34E3A">
      <w:pPr>
        <w:keepNext w:val="0"/>
        <w:keepLines w:val="0"/>
        <w:pageBreakBefore w:val="0"/>
        <w:widowControl w:val="0"/>
        <w:kinsoku/>
        <w:wordWrap/>
        <w:overflowPunct/>
        <w:topLinePunct w:val="0"/>
        <w:bidi w:val="0"/>
        <w:adjustRightInd w:val="0"/>
        <w:snapToGrid w:val="0"/>
        <w:spacing w:line="560" w:lineRule="exact"/>
        <w:ind w:left="0" w:right="0"/>
        <w:jc w:val="both"/>
        <w:textAlignment w:val="auto"/>
        <w:rPr>
          <w:rFonts w:hint="eastAsia" w:ascii="仿宋" w:hAnsi="仿宋" w:eastAsia="仿宋" w:cs="仿宋"/>
          <w:b/>
          <w:bCs/>
          <w:sz w:val="30"/>
          <w:szCs w:val="30"/>
        </w:rPr>
      </w:pPr>
      <w:bookmarkStart w:id="1" w:name="_Toc435115052"/>
      <w:bookmarkStart w:id="2" w:name="_Toc3942"/>
      <w:bookmarkStart w:id="3" w:name="_Toc435514843"/>
    </w:p>
    <w:p w14:paraId="38514B5B">
      <w:pPr>
        <w:adjustRightInd w:val="0"/>
        <w:snapToGrid w:val="0"/>
        <w:spacing w:line="240" w:lineRule="atLeast"/>
        <w:jc w:val="both"/>
        <w:rPr>
          <w:rFonts w:hint="eastAsia" w:ascii="宋体" w:hAnsi="宋体" w:eastAsia="宋体" w:cs="宋体"/>
          <w:b/>
          <w:bCs/>
          <w:sz w:val="44"/>
          <w:szCs w:val="44"/>
        </w:rPr>
      </w:pPr>
    </w:p>
    <w:bookmarkEnd w:id="1"/>
    <w:bookmarkEnd w:id="2"/>
    <w:bookmarkEnd w:id="3"/>
    <w:p w14:paraId="469E4C2E">
      <w:pPr>
        <w:adjustRightInd w:val="0"/>
        <w:snapToGrid w:val="0"/>
        <w:spacing w:line="240" w:lineRule="atLeast"/>
        <w:jc w:val="center"/>
        <w:rPr>
          <w:rFonts w:hint="eastAsia" w:ascii="宋体" w:hAnsi="宋体" w:eastAsia="宋体" w:cs="宋体"/>
          <w:b/>
          <w:bCs/>
          <w:color w:val="000000"/>
          <w:sz w:val="44"/>
          <w:szCs w:val="44"/>
        </w:rPr>
      </w:pPr>
      <w:r>
        <w:rPr>
          <w:rFonts w:hint="eastAsia" w:ascii="宋体" w:hAnsi="宋体" w:eastAsia="宋体" w:cs="宋体"/>
          <w:b/>
          <w:bCs/>
          <w:sz w:val="44"/>
          <w:szCs w:val="44"/>
        </w:rPr>
        <w:t>第一章</w:t>
      </w:r>
      <w:r>
        <w:rPr>
          <w:rFonts w:hint="eastAsia" w:ascii="宋体" w:hAnsi="宋体" w:eastAsia="宋体" w:cs="宋体"/>
          <w:b/>
          <w:bCs/>
          <w:color w:val="FF0000"/>
          <w:sz w:val="44"/>
          <w:szCs w:val="44"/>
        </w:rPr>
        <w:t xml:space="preserve">  </w:t>
      </w:r>
      <w:r>
        <w:rPr>
          <w:rFonts w:hint="eastAsia" w:ascii="宋体" w:hAnsi="宋体" w:eastAsia="宋体" w:cs="宋体"/>
          <w:b/>
          <w:bCs/>
          <w:sz w:val="44"/>
          <w:szCs w:val="44"/>
        </w:rPr>
        <w:t>采购公告</w:t>
      </w:r>
    </w:p>
    <w:p w14:paraId="377203DF">
      <w:pPr>
        <w:adjustRightInd w:val="0"/>
        <w:snapToGrid w:val="0"/>
        <w:spacing w:line="360" w:lineRule="exact"/>
        <w:ind w:firstLine="480" w:firstLineChars="200"/>
        <w:rPr>
          <w:rFonts w:hint="eastAsia" w:ascii="仿宋" w:hAnsi="仿宋" w:eastAsia="仿宋" w:cs="仿宋"/>
          <w:color w:val="000000"/>
          <w:sz w:val="24"/>
          <w:szCs w:val="24"/>
        </w:rPr>
      </w:pPr>
    </w:p>
    <w:p w14:paraId="0EDF1C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根据临床需要，对下列采购项目进行院内公开招标采购，欢迎符合资质的经销商、厂商投标。</w:t>
      </w:r>
    </w:p>
    <w:p w14:paraId="4F8361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0F34A3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项目名称：怀化市第五人民医院除颤起搏监护仪采购</w:t>
      </w:r>
    </w:p>
    <w:p w14:paraId="282A86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2.采购编号：2026014</w:t>
      </w:r>
    </w:p>
    <w:p w14:paraId="50DFAC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3.项目采购预算：10.4万元/2台</w:t>
      </w:r>
    </w:p>
    <w:p w14:paraId="13C143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4.采购方式：院内公开招标（竞争性谈判）</w:t>
      </w:r>
    </w:p>
    <w:p w14:paraId="07BBC3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二、投标人的资格要求</w:t>
      </w:r>
    </w:p>
    <w:p w14:paraId="263580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在中华人民共和国境内注册，能够独立承担民事责任的法人。</w:t>
      </w:r>
    </w:p>
    <w:p w14:paraId="03973F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要求投标人遵守国家有关法律、法规、规章制度，具有良好的商业信誉，具有履行合同的能力和良好的履行合同的记录。</w:t>
      </w:r>
    </w:p>
    <w:p w14:paraId="01B511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要求投标人有依法缴纳税收和社会保障资金的良好记录，并在投标文件中提供相关证明文件。</w:t>
      </w:r>
    </w:p>
    <w:p w14:paraId="076995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要求投标人参加政府采购活动近三年内，在经营活动中没有重大违法记录。</w:t>
      </w:r>
    </w:p>
    <w:p w14:paraId="5E0696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投标人未被“信用中国”（www.creditchina.gov.cn）列入失信被执行人、重大税收违法案件当事人名单、政府采购严重违法失信行为记录名单，并提交截图证明。</w:t>
      </w:r>
    </w:p>
    <w:p w14:paraId="3CF36B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特定资格条件：①投标人为经营企业的:A、产品为第三类医疗器械的需提供《医疗器械经营许可证》；B、产品为第二类医疗器械的需提供《第二类医疗器械经营备案凭证》；投标人为产品制造商的：需提供《医疗器械生产许可证》或《第一类医疗器械生产备案凭证》。</w:t>
      </w:r>
    </w:p>
    <w:p w14:paraId="122E39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②投标人提供的国内产品:A.为一类医疗器械的需提供《第一类医疗器械备案凭证》、《第一类医疗器械生产备案凭证》;B.为二、三类医疗器械的需提供《医疗器械注册证》、《医疗器械生产许可证》</w:t>
      </w:r>
      <w:r>
        <w:rPr>
          <w:rFonts w:hint="eastAsia" w:ascii="仿宋" w:hAnsi="仿宋" w:eastAsia="仿宋" w:cs="仿宋"/>
          <w:sz w:val="32"/>
          <w:szCs w:val="32"/>
          <w:lang w:eastAsia="zh-CN"/>
        </w:rPr>
        <w:t>。</w:t>
      </w:r>
    </w:p>
    <w:p w14:paraId="26C9E03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黑体" w:hAnsi="黑体" w:eastAsia="黑体" w:cs="黑体"/>
          <w:sz w:val="32"/>
          <w:szCs w:val="32"/>
        </w:rPr>
        <w:t>三、投标及开标事宜</w:t>
      </w:r>
    </w:p>
    <w:p w14:paraId="247DE6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投标人需提供的相关材料和标书要求详见招标文件，按招标文件要求制作投标文件并</w:t>
      </w:r>
      <w:r>
        <w:rPr>
          <w:rFonts w:hint="eastAsia" w:ascii="仿宋" w:hAnsi="仿宋" w:eastAsia="仿宋" w:cs="仿宋"/>
          <w:sz w:val="32"/>
          <w:szCs w:val="32"/>
          <w:lang w:eastAsia="zh-CN"/>
        </w:rPr>
        <w:t>胶装</w:t>
      </w:r>
      <w:r>
        <w:rPr>
          <w:rFonts w:hint="eastAsia" w:ascii="仿宋" w:hAnsi="仿宋" w:eastAsia="仿宋" w:cs="仿宋"/>
          <w:sz w:val="32"/>
          <w:szCs w:val="32"/>
        </w:rPr>
        <w:t>成册</w:t>
      </w:r>
      <w:r>
        <w:rPr>
          <w:rFonts w:hint="eastAsia" w:ascii="仿宋" w:hAnsi="仿宋" w:eastAsia="仿宋" w:cs="仿宋"/>
          <w:sz w:val="32"/>
          <w:szCs w:val="32"/>
          <w:lang w:eastAsia="zh-CN"/>
        </w:rPr>
        <w:t>密封</w:t>
      </w:r>
      <w:r>
        <w:rPr>
          <w:rFonts w:hint="eastAsia" w:ascii="仿宋" w:hAnsi="仿宋" w:eastAsia="仿宋" w:cs="仿宋"/>
          <w:sz w:val="32"/>
          <w:szCs w:val="32"/>
        </w:rPr>
        <w:t>，一正</w:t>
      </w:r>
      <w:r>
        <w:rPr>
          <w:rFonts w:hint="eastAsia" w:ascii="仿宋" w:hAnsi="仿宋" w:eastAsia="仿宋" w:cs="仿宋"/>
          <w:sz w:val="32"/>
          <w:szCs w:val="32"/>
          <w:lang w:eastAsia="zh-CN"/>
        </w:rPr>
        <w:t>一</w:t>
      </w:r>
      <w:r>
        <w:rPr>
          <w:rFonts w:hint="eastAsia" w:ascii="仿宋" w:hAnsi="仿宋" w:eastAsia="仿宋" w:cs="仿宋"/>
          <w:sz w:val="32"/>
          <w:szCs w:val="32"/>
        </w:rPr>
        <w:t>副</w:t>
      </w:r>
      <w:r>
        <w:rPr>
          <w:rFonts w:hint="eastAsia" w:ascii="仿宋" w:hAnsi="仿宋" w:eastAsia="仿宋" w:cs="仿宋"/>
          <w:sz w:val="32"/>
          <w:szCs w:val="32"/>
          <w:lang w:eastAsia="zh-CN"/>
        </w:rPr>
        <w:t>，加盖公章</w:t>
      </w:r>
      <w:r>
        <w:rPr>
          <w:rFonts w:hint="eastAsia" w:ascii="仿宋" w:hAnsi="仿宋" w:eastAsia="仿宋" w:cs="仿宋"/>
          <w:sz w:val="32"/>
          <w:szCs w:val="32"/>
        </w:rPr>
        <w:t>。</w:t>
      </w:r>
    </w:p>
    <w:p w14:paraId="29B028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报名截止时间：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日17:00止（北京时间）</w:t>
      </w:r>
    </w:p>
    <w:p w14:paraId="32EDB9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报名地址：怀化市第五人民医院</w:t>
      </w:r>
      <w:r>
        <w:rPr>
          <w:rFonts w:hint="eastAsia" w:ascii="仿宋" w:hAnsi="仿宋" w:eastAsia="仿宋" w:cs="仿宋"/>
          <w:sz w:val="32"/>
          <w:szCs w:val="32"/>
          <w:lang w:eastAsia="zh-CN"/>
        </w:rPr>
        <w:t>运营管理部</w:t>
      </w:r>
    </w:p>
    <w:p w14:paraId="771F21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开标时间：</w:t>
      </w: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11</w:t>
      </w:r>
      <w:r>
        <w:rPr>
          <w:rFonts w:hint="eastAsia" w:ascii="仿宋" w:hAnsi="仿宋" w:eastAsia="仿宋" w:cs="仿宋"/>
          <w:sz w:val="32"/>
          <w:szCs w:val="32"/>
        </w:rPr>
        <w:t>日1</w:t>
      </w:r>
      <w:r>
        <w:rPr>
          <w:rFonts w:hint="eastAsia" w:ascii="仿宋" w:hAnsi="仿宋" w:eastAsia="仿宋" w:cs="仿宋"/>
          <w:sz w:val="32"/>
          <w:szCs w:val="32"/>
          <w:lang w:val="en-US" w:eastAsia="zh-CN"/>
        </w:rPr>
        <w:t>5</w:t>
      </w:r>
      <w:r>
        <w:rPr>
          <w:rFonts w:hint="eastAsia" w:ascii="仿宋" w:hAnsi="仿宋" w:eastAsia="仿宋" w:cs="仿宋"/>
          <w:sz w:val="32"/>
          <w:szCs w:val="32"/>
        </w:rPr>
        <w:t>:00（北京时间）</w:t>
      </w:r>
    </w:p>
    <w:p w14:paraId="192A57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开标地点：怀化市第五人民医院</w:t>
      </w:r>
      <w:r>
        <w:rPr>
          <w:rFonts w:hint="eastAsia" w:ascii="仿宋" w:hAnsi="仿宋" w:eastAsia="仿宋" w:cs="仿宋"/>
          <w:sz w:val="32"/>
          <w:szCs w:val="32"/>
          <w:lang w:eastAsia="zh-CN"/>
        </w:rPr>
        <w:t>行政四楼开标室</w:t>
      </w:r>
      <w:r>
        <w:rPr>
          <w:rFonts w:hint="eastAsia" w:ascii="仿宋" w:hAnsi="仿宋" w:eastAsia="仿宋" w:cs="仿宋"/>
          <w:sz w:val="32"/>
          <w:szCs w:val="32"/>
        </w:rPr>
        <w:t xml:space="preserve">                                                                                       </w:t>
      </w:r>
    </w:p>
    <w:p w14:paraId="3ACE42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四、联系方式</w:t>
      </w:r>
    </w:p>
    <w:p w14:paraId="16C2F2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采购人：怀化市第五人民医院</w:t>
      </w:r>
    </w:p>
    <w:p w14:paraId="2EF5C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联系人：</w:t>
      </w:r>
      <w:r>
        <w:rPr>
          <w:rFonts w:hint="eastAsia" w:ascii="仿宋" w:hAnsi="仿宋" w:eastAsia="仿宋" w:cs="仿宋"/>
          <w:sz w:val="32"/>
          <w:szCs w:val="32"/>
          <w:lang w:eastAsia="zh-CN"/>
        </w:rPr>
        <w:t>李女士</w:t>
      </w:r>
      <w:r>
        <w:rPr>
          <w:rFonts w:hint="eastAsia" w:ascii="仿宋" w:hAnsi="仿宋" w:eastAsia="仿宋" w:cs="仿宋"/>
          <w:sz w:val="32"/>
          <w:szCs w:val="32"/>
          <w:lang w:val="en-US" w:eastAsia="zh-CN"/>
        </w:rPr>
        <w:t xml:space="preserve"> 15574336882</w:t>
      </w:r>
      <w:r>
        <w:rPr>
          <w:rFonts w:hint="eastAsia" w:ascii="仿宋" w:hAnsi="仿宋" w:eastAsia="仿宋" w:cs="仿宋"/>
          <w:sz w:val="32"/>
          <w:szCs w:val="32"/>
        </w:rPr>
        <w:t xml:space="preserve"> </w:t>
      </w:r>
    </w:p>
    <w:p w14:paraId="77CF00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color w:val="000000"/>
          <w:sz w:val="24"/>
          <w:szCs w:val="24"/>
        </w:rPr>
      </w:pPr>
      <w:r>
        <w:rPr>
          <w:rFonts w:hint="eastAsia" w:ascii="仿宋" w:hAnsi="仿宋" w:eastAsia="仿宋" w:cs="仿宋"/>
          <w:sz w:val="32"/>
          <w:szCs w:val="32"/>
        </w:rPr>
        <w:t>电  话：</w:t>
      </w:r>
      <w:r>
        <w:rPr>
          <w:rFonts w:hint="eastAsia" w:ascii="仿宋" w:hAnsi="仿宋" w:eastAsia="仿宋" w:cs="仿宋"/>
          <w:color w:val="000000"/>
          <w:sz w:val="32"/>
          <w:szCs w:val="32"/>
          <w:lang w:val="en-US" w:eastAsia="zh-CN"/>
        </w:rPr>
        <w:t>0745-</w:t>
      </w:r>
      <w:r>
        <w:rPr>
          <w:rFonts w:hint="eastAsia" w:ascii="仿宋" w:hAnsi="仿宋" w:eastAsia="仿宋" w:cs="仿宋"/>
          <w:color w:val="auto"/>
          <w:sz w:val="32"/>
          <w:szCs w:val="32"/>
          <w:lang w:val="en-US" w:eastAsia="zh-CN"/>
        </w:rPr>
        <w:t>2788939</w:t>
      </w:r>
      <w:r>
        <w:rPr>
          <w:rFonts w:hint="eastAsia" w:ascii="仿宋" w:hAnsi="仿宋" w:eastAsia="仿宋" w:cs="仿宋"/>
          <w:sz w:val="32"/>
          <w:szCs w:val="32"/>
          <w:lang w:val="en-US" w:eastAsia="zh-CN"/>
        </w:rPr>
        <w:t xml:space="preserve">  </w:t>
      </w:r>
    </w:p>
    <w:p w14:paraId="63D314AF">
      <w:pPr>
        <w:pStyle w:val="14"/>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02FAE682">
      <w:pPr>
        <w:pStyle w:val="14"/>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44B710DE">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031403E5">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第二章  投标资料表</w:t>
      </w:r>
    </w:p>
    <w:tbl>
      <w:tblPr>
        <w:tblStyle w:val="10"/>
        <w:tblW w:w="92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498"/>
      </w:tblGrid>
      <w:tr w14:paraId="2D748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5" w:type="dxa"/>
            <w:tcBorders>
              <w:top w:val="single" w:color="auto" w:sz="12" w:space="0"/>
            </w:tcBorders>
            <w:noWrap w:val="0"/>
            <w:vAlign w:val="center"/>
          </w:tcPr>
          <w:p w14:paraId="4846ACD1">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条款项号</w:t>
            </w:r>
          </w:p>
        </w:tc>
        <w:tc>
          <w:tcPr>
            <w:tcW w:w="8498" w:type="dxa"/>
            <w:tcBorders>
              <w:top w:val="single" w:color="auto" w:sz="12" w:space="0"/>
            </w:tcBorders>
            <w:noWrap w:val="0"/>
            <w:vAlign w:val="center"/>
          </w:tcPr>
          <w:p w14:paraId="28913A69">
            <w:pPr>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内     容</w:t>
            </w:r>
          </w:p>
        </w:tc>
      </w:tr>
      <w:tr w14:paraId="798C3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9263" w:type="dxa"/>
            <w:gridSpan w:val="2"/>
            <w:noWrap w:val="0"/>
            <w:vAlign w:val="center"/>
          </w:tcPr>
          <w:p w14:paraId="08474137">
            <w:pPr>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一、说明</w:t>
            </w:r>
          </w:p>
        </w:tc>
      </w:tr>
      <w:tr w14:paraId="2932E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65" w:type="dxa"/>
            <w:noWrap w:val="0"/>
            <w:vAlign w:val="center"/>
          </w:tcPr>
          <w:p w14:paraId="2CC60DE2">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1.1</w:t>
            </w:r>
          </w:p>
        </w:tc>
        <w:tc>
          <w:tcPr>
            <w:tcW w:w="8498" w:type="dxa"/>
            <w:noWrap w:val="0"/>
            <w:vAlign w:val="center"/>
          </w:tcPr>
          <w:p w14:paraId="641BEC3D">
            <w:pPr>
              <w:rPr>
                <w:rFonts w:hint="eastAsia" w:ascii="仿宋" w:hAnsi="仿宋" w:eastAsia="仿宋" w:cs="仿宋"/>
                <w:b/>
                <w:bCs/>
                <w:color w:val="000000"/>
                <w:sz w:val="24"/>
                <w:szCs w:val="24"/>
              </w:rPr>
            </w:pPr>
            <w:r>
              <w:rPr>
                <w:rFonts w:hint="eastAsia" w:ascii="仿宋" w:hAnsi="仿宋" w:eastAsia="仿宋" w:cs="仿宋"/>
                <w:color w:val="000000"/>
                <w:sz w:val="24"/>
                <w:szCs w:val="24"/>
              </w:rPr>
              <w:t>采购人名称：怀化市第五人民医院</w:t>
            </w:r>
          </w:p>
        </w:tc>
      </w:tr>
      <w:tr w14:paraId="6164D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263" w:type="dxa"/>
            <w:gridSpan w:val="2"/>
            <w:noWrap w:val="0"/>
            <w:vAlign w:val="center"/>
          </w:tcPr>
          <w:p w14:paraId="690A67CF">
            <w:pPr>
              <w:jc w:val="center"/>
              <w:rPr>
                <w:rFonts w:hint="eastAsia" w:ascii="仿宋" w:hAnsi="仿宋" w:eastAsia="仿宋" w:cs="仿宋"/>
                <w:color w:val="000000"/>
                <w:sz w:val="24"/>
                <w:szCs w:val="24"/>
              </w:rPr>
            </w:pPr>
            <w:r>
              <w:rPr>
                <w:rFonts w:hint="eastAsia" w:ascii="仿宋" w:hAnsi="仿宋" w:eastAsia="仿宋" w:cs="仿宋"/>
                <w:b/>
                <w:bCs/>
                <w:color w:val="000000"/>
                <w:sz w:val="24"/>
                <w:szCs w:val="24"/>
              </w:rPr>
              <w:t>二、招标文件</w:t>
            </w:r>
          </w:p>
        </w:tc>
      </w:tr>
      <w:tr w14:paraId="2A40B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765" w:type="dxa"/>
            <w:noWrap w:val="0"/>
            <w:vAlign w:val="center"/>
          </w:tcPr>
          <w:p w14:paraId="3E24CA2B">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2.1</w:t>
            </w:r>
          </w:p>
        </w:tc>
        <w:tc>
          <w:tcPr>
            <w:tcW w:w="8498" w:type="dxa"/>
            <w:noWrap w:val="0"/>
            <w:vAlign w:val="center"/>
          </w:tcPr>
          <w:p w14:paraId="7AD5D9FC">
            <w:pPr>
              <w:adjustRightInd w:val="0"/>
              <w:snapToGrid w:val="0"/>
              <w:rPr>
                <w:rFonts w:hint="eastAsia" w:ascii="仿宋" w:hAnsi="仿宋" w:eastAsia="仿宋" w:cs="仿宋"/>
                <w:color w:val="000000"/>
                <w:sz w:val="24"/>
                <w:szCs w:val="24"/>
              </w:rPr>
            </w:pPr>
            <w:r>
              <w:rPr>
                <w:rFonts w:hint="eastAsia" w:ascii="仿宋" w:hAnsi="仿宋" w:eastAsia="仿宋" w:cs="仿宋"/>
                <w:color w:val="000000"/>
                <w:sz w:val="24"/>
                <w:szCs w:val="24"/>
              </w:rPr>
              <w:t>集中答疑会或现场考察：不举行。</w:t>
            </w:r>
          </w:p>
        </w:tc>
      </w:tr>
      <w:tr w14:paraId="7A469F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263" w:type="dxa"/>
            <w:gridSpan w:val="2"/>
            <w:noWrap w:val="0"/>
            <w:vAlign w:val="center"/>
          </w:tcPr>
          <w:p w14:paraId="366EBE1C">
            <w:pPr>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三、投标文件的编制</w:t>
            </w:r>
          </w:p>
        </w:tc>
      </w:tr>
      <w:tr w14:paraId="009BC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65" w:type="dxa"/>
            <w:noWrap w:val="0"/>
            <w:vAlign w:val="center"/>
          </w:tcPr>
          <w:p w14:paraId="51C46A66">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3.1</w:t>
            </w:r>
          </w:p>
        </w:tc>
        <w:tc>
          <w:tcPr>
            <w:tcW w:w="8498" w:type="dxa"/>
            <w:noWrap w:val="0"/>
            <w:vAlign w:val="center"/>
          </w:tcPr>
          <w:p w14:paraId="3B2EFBD9">
            <w:pPr>
              <w:adjustRightInd w:val="0"/>
              <w:snapToGrid w:val="0"/>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（境内货物）其他伴随的服务费用：运至最终目的地的内陆运输、保险、安装、调试、验收、培训及伴随货物交运有关费用和标准附件价、备品备件及专用工具。</w:t>
            </w:r>
          </w:p>
        </w:tc>
      </w:tr>
      <w:tr w14:paraId="06F5B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65" w:type="dxa"/>
            <w:noWrap w:val="0"/>
            <w:vAlign w:val="center"/>
          </w:tcPr>
          <w:p w14:paraId="277F704B">
            <w:pPr>
              <w:jc w:val="center"/>
              <w:rPr>
                <w:rFonts w:hint="eastAsia" w:ascii="仿宋" w:hAnsi="仿宋" w:eastAsia="仿宋" w:cs="仿宋"/>
                <w:dstrike/>
                <w:color w:val="000000"/>
                <w:sz w:val="24"/>
                <w:szCs w:val="24"/>
                <w:em w:val="dot"/>
              </w:rPr>
            </w:pPr>
            <w:r>
              <w:rPr>
                <w:rFonts w:hint="eastAsia" w:ascii="仿宋" w:hAnsi="仿宋" w:eastAsia="仿宋" w:cs="仿宋"/>
                <w:color w:val="000000"/>
                <w:sz w:val="24"/>
                <w:szCs w:val="24"/>
              </w:rPr>
              <w:t>3.2</w:t>
            </w:r>
          </w:p>
        </w:tc>
        <w:tc>
          <w:tcPr>
            <w:tcW w:w="8498" w:type="dxa"/>
            <w:noWrap w:val="0"/>
            <w:vAlign w:val="center"/>
          </w:tcPr>
          <w:p w14:paraId="3C38B726">
            <w:pPr>
              <w:adjustRightInd w:val="0"/>
              <w:snapToGrid w:val="0"/>
              <w:spacing w:line="440" w:lineRule="exact"/>
              <w:ind w:left="210" w:hanging="210"/>
              <w:rPr>
                <w:rFonts w:hint="eastAsia" w:ascii="仿宋" w:hAnsi="仿宋" w:eastAsia="仿宋" w:cs="仿宋"/>
                <w:color w:val="000000"/>
                <w:sz w:val="24"/>
                <w:szCs w:val="24"/>
              </w:rPr>
            </w:pPr>
            <w:r>
              <w:rPr>
                <w:rFonts w:hint="eastAsia" w:ascii="仿宋" w:hAnsi="仿宋" w:eastAsia="仿宋" w:cs="仿宋"/>
                <w:color w:val="000000"/>
                <w:sz w:val="24"/>
                <w:szCs w:val="24"/>
              </w:rPr>
              <w:t>（境外货物）</w:t>
            </w:r>
            <w:r>
              <w:rPr>
                <w:rFonts w:hint="eastAsia" w:ascii="仿宋" w:hAnsi="仿宋" w:eastAsia="仿宋" w:cs="仿宋"/>
                <w:color w:val="000000"/>
                <w:sz w:val="24"/>
                <w:szCs w:val="24"/>
                <w:lang w:val="zh-CN"/>
              </w:rPr>
              <w:t>进口环节关税和增值税：无</w:t>
            </w:r>
          </w:p>
        </w:tc>
      </w:tr>
      <w:tr w14:paraId="3C191E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65" w:type="dxa"/>
            <w:noWrap w:val="0"/>
            <w:vAlign w:val="center"/>
          </w:tcPr>
          <w:p w14:paraId="7EF7BF5F">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3.3</w:t>
            </w:r>
          </w:p>
        </w:tc>
        <w:tc>
          <w:tcPr>
            <w:tcW w:w="8498" w:type="dxa"/>
            <w:noWrap w:val="0"/>
            <w:vAlign w:val="center"/>
          </w:tcPr>
          <w:p w14:paraId="59B1DACF">
            <w:pPr>
              <w:adjustRightInd w:val="0"/>
              <w:snapToGrid w:val="0"/>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（境外货物）其他伴随的服务费用：无</w:t>
            </w:r>
          </w:p>
        </w:tc>
      </w:tr>
      <w:tr w14:paraId="52240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5" w:type="dxa"/>
            <w:noWrap w:val="0"/>
            <w:vAlign w:val="center"/>
          </w:tcPr>
          <w:p w14:paraId="38192D08">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3.4</w:t>
            </w:r>
          </w:p>
        </w:tc>
        <w:tc>
          <w:tcPr>
            <w:tcW w:w="8498" w:type="dxa"/>
            <w:noWrap w:val="0"/>
            <w:vAlign w:val="center"/>
          </w:tcPr>
          <w:p w14:paraId="09C81FF3">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投标人所报的投标价在合同执行过程中是固定不变的，不得以任何理由变更。</w:t>
            </w:r>
          </w:p>
        </w:tc>
      </w:tr>
      <w:tr w14:paraId="5F77C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65" w:type="dxa"/>
            <w:noWrap w:val="0"/>
            <w:vAlign w:val="center"/>
          </w:tcPr>
          <w:p w14:paraId="1D99D217">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3.5</w:t>
            </w:r>
          </w:p>
        </w:tc>
        <w:tc>
          <w:tcPr>
            <w:tcW w:w="8498" w:type="dxa"/>
            <w:noWrap w:val="0"/>
            <w:vAlign w:val="center"/>
          </w:tcPr>
          <w:p w14:paraId="267937D8">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不允许有备选方案，否则将被视为无效投标。</w:t>
            </w:r>
          </w:p>
        </w:tc>
      </w:tr>
      <w:tr w14:paraId="21F753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65" w:type="dxa"/>
            <w:noWrap w:val="0"/>
            <w:vAlign w:val="center"/>
          </w:tcPr>
          <w:p w14:paraId="45D19804">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3.6</w:t>
            </w:r>
          </w:p>
        </w:tc>
        <w:tc>
          <w:tcPr>
            <w:tcW w:w="8498" w:type="dxa"/>
            <w:noWrap w:val="0"/>
            <w:vAlign w:val="center"/>
          </w:tcPr>
          <w:p w14:paraId="04004FF4">
            <w:pPr>
              <w:adjustRightInd w:val="0"/>
              <w:snapToGrid w:val="0"/>
              <w:rPr>
                <w:rFonts w:hint="eastAsia" w:ascii="仿宋" w:hAnsi="仿宋" w:eastAsia="仿宋" w:cs="仿宋"/>
                <w:color w:val="000000"/>
                <w:sz w:val="24"/>
                <w:szCs w:val="24"/>
              </w:rPr>
            </w:pPr>
            <w:r>
              <w:rPr>
                <w:rFonts w:hint="eastAsia" w:ascii="仿宋" w:hAnsi="仿宋" w:eastAsia="仿宋" w:cs="仿宋"/>
                <w:color w:val="000000"/>
                <w:sz w:val="24"/>
                <w:szCs w:val="24"/>
              </w:rPr>
              <w:t>不允许附加条件报价，否则将被视为无效投标。</w:t>
            </w:r>
          </w:p>
        </w:tc>
      </w:tr>
      <w:tr w14:paraId="1C169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65" w:type="dxa"/>
            <w:noWrap w:val="0"/>
            <w:vAlign w:val="center"/>
          </w:tcPr>
          <w:p w14:paraId="4CD7BEF4">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3.7</w:t>
            </w:r>
          </w:p>
        </w:tc>
        <w:tc>
          <w:tcPr>
            <w:tcW w:w="8498" w:type="dxa"/>
            <w:noWrap w:val="0"/>
            <w:vAlign w:val="center"/>
          </w:tcPr>
          <w:p w14:paraId="289683D5">
            <w:pPr>
              <w:rPr>
                <w:rFonts w:hint="eastAsia" w:ascii="仿宋" w:hAnsi="仿宋" w:eastAsia="仿宋" w:cs="仿宋"/>
                <w:color w:val="000000"/>
                <w:sz w:val="24"/>
                <w:szCs w:val="24"/>
              </w:rPr>
            </w:pPr>
            <w:r>
              <w:rPr>
                <w:rFonts w:hint="eastAsia" w:ascii="仿宋" w:hAnsi="仿宋" w:eastAsia="仿宋" w:cs="仿宋"/>
                <w:color w:val="000000"/>
                <w:sz w:val="24"/>
                <w:szCs w:val="24"/>
              </w:rPr>
              <w:t>投标有效期：</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0天。（</w:t>
            </w:r>
            <w:r>
              <w:rPr>
                <w:rFonts w:hint="eastAsia" w:ascii="仿宋" w:hAnsi="仿宋" w:eastAsia="仿宋" w:cs="仿宋"/>
                <w:sz w:val="24"/>
                <w:szCs w:val="24"/>
              </w:rPr>
              <w:t>自响应文件提交截止日计算</w:t>
            </w:r>
            <w:r>
              <w:rPr>
                <w:rFonts w:hint="eastAsia" w:ascii="仿宋" w:hAnsi="仿宋" w:eastAsia="仿宋" w:cs="仿宋"/>
                <w:color w:val="000000"/>
                <w:sz w:val="24"/>
                <w:szCs w:val="24"/>
              </w:rPr>
              <w:t>）</w:t>
            </w:r>
          </w:p>
        </w:tc>
      </w:tr>
      <w:tr w14:paraId="2DC37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5" w:type="dxa"/>
            <w:noWrap w:val="0"/>
            <w:vAlign w:val="center"/>
          </w:tcPr>
          <w:p w14:paraId="7F0DB932">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3.8</w:t>
            </w:r>
          </w:p>
        </w:tc>
        <w:tc>
          <w:tcPr>
            <w:tcW w:w="8498" w:type="dxa"/>
            <w:noWrap w:val="0"/>
            <w:vAlign w:val="center"/>
          </w:tcPr>
          <w:p w14:paraId="391F648C">
            <w:pP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投标文件份数：</w:t>
            </w:r>
            <w:r>
              <w:rPr>
                <w:rFonts w:hint="eastAsia" w:ascii="仿宋" w:hAnsi="仿宋" w:eastAsia="仿宋" w:cs="仿宋"/>
                <w:color w:val="FF0000"/>
                <w:sz w:val="24"/>
                <w:szCs w:val="24"/>
              </w:rPr>
              <w:t>正本一份，副本</w:t>
            </w:r>
            <w:r>
              <w:rPr>
                <w:rFonts w:hint="eastAsia" w:ascii="仿宋" w:hAnsi="仿宋" w:eastAsia="仿宋" w:cs="仿宋"/>
                <w:color w:val="FF0000"/>
                <w:sz w:val="24"/>
                <w:szCs w:val="24"/>
                <w:lang w:eastAsia="zh-CN"/>
              </w:rPr>
              <w:t>一</w:t>
            </w:r>
            <w:r>
              <w:rPr>
                <w:rFonts w:hint="eastAsia" w:ascii="仿宋" w:hAnsi="仿宋" w:eastAsia="仿宋" w:cs="仿宋"/>
                <w:color w:val="FF0000"/>
                <w:sz w:val="24"/>
                <w:szCs w:val="24"/>
              </w:rPr>
              <w:t>份。加盖投标单位公章</w:t>
            </w:r>
            <w:r>
              <w:rPr>
                <w:rFonts w:hint="eastAsia" w:ascii="仿宋" w:hAnsi="仿宋" w:eastAsia="仿宋" w:cs="仿宋"/>
                <w:color w:val="FF0000"/>
                <w:sz w:val="24"/>
                <w:szCs w:val="24"/>
                <w:lang w:eastAsia="zh-CN"/>
              </w:rPr>
              <w:t>。</w:t>
            </w:r>
          </w:p>
        </w:tc>
      </w:tr>
      <w:tr w14:paraId="4873A9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263" w:type="dxa"/>
            <w:gridSpan w:val="2"/>
            <w:noWrap w:val="0"/>
            <w:vAlign w:val="center"/>
          </w:tcPr>
          <w:p w14:paraId="6A58089E">
            <w:pPr>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四、投标文件的递交</w:t>
            </w:r>
          </w:p>
        </w:tc>
      </w:tr>
      <w:tr w14:paraId="2CCB01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noWrap w:val="0"/>
            <w:vAlign w:val="center"/>
          </w:tcPr>
          <w:p w14:paraId="2A773059">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4.1</w:t>
            </w:r>
          </w:p>
        </w:tc>
        <w:tc>
          <w:tcPr>
            <w:tcW w:w="8498" w:type="dxa"/>
            <w:noWrap w:val="0"/>
            <w:vAlign w:val="center"/>
          </w:tcPr>
          <w:p w14:paraId="18D3AD4A">
            <w:pPr>
              <w:ind w:left="150" w:hanging="120" w:hangingChars="50"/>
              <w:rPr>
                <w:rFonts w:hint="eastAsia" w:ascii="仿宋" w:hAnsi="仿宋" w:eastAsia="仿宋" w:cs="仿宋"/>
                <w:color w:val="000000"/>
                <w:sz w:val="24"/>
                <w:szCs w:val="24"/>
              </w:rPr>
            </w:pPr>
            <w:r>
              <w:rPr>
                <w:rFonts w:hint="eastAsia" w:ascii="仿宋" w:hAnsi="仿宋" w:eastAsia="仿宋" w:cs="仿宋"/>
                <w:color w:val="000000"/>
                <w:sz w:val="24"/>
                <w:szCs w:val="24"/>
              </w:rPr>
              <w:t>投标文件递交</w:t>
            </w:r>
            <w:r>
              <w:rPr>
                <w:rFonts w:hint="eastAsia" w:ascii="仿宋" w:hAnsi="仿宋" w:eastAsia="仿宋" w:cs="仿宋"/>
                <w:color w:val="000000"/>
                <w:sz w:val="24"/>
                <w:szCs w:val="24"/>
                <w:lang w:eastAsia="zh-TW"/>
              </w:rPr>
              <w:t>截止日期和时间</w:t>
            </w:r>
            <w:r>
              <w:rPr>
                <w:rFonts w:hint="eastAsia" w:ascii="仿宋" w:hAnsi="仿宋" w:eastAsia="仿宋" w:cs="仿宋"/>
                <w:color w:val="000000"/>
                <w:sz w:val="24"/>
                <w:szCs w:val="24"/>
              </w:rPr>
              <w:t>、地址：按招标文件第一章投标邀请中规定。</w:t>
            </w:r>
          </w:p>
        </w:tc>
      </w:tr>
      <w:tr w14:paraId="678AF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705FD27D">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五、开标与评标</w:t>
            </w:r>
          </w:p>
        </w:tc>
      </w:tr>
      <w:tr w14:paraId="3DF38A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057045A7">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5.1</w:t>
            </w:r>
          </w:p>
        </w:tc>
        <w:tc>
          <w:tcPr>
            <w:tcW w:w="8498" w:type="dxa"/>
            <w:shd w:val="clear" w:color="auto" w:fill="auto"/>
            <w:noWrap w:val="0"/>
            <w:vAlign w:val="center"/>
          </w:tcPr>
          <w:p w14:paraId="4076754A">
            <w:pPr>
              <w:rPr>
                <w:rFonts w:hint="eastAsia" w:ascii="仿宋" w:hAnsi="仿宋" w:eastAsia="仿宋" w:cs="仿宋"/>
                <w:color w:val="000000"/>
                <w:kern w:val="0"/>
                <w:sz w:val="24"/>
                <w:szCs w:val="24"/>
                <w:lang w:val="zh-CN" w:eastAsia="zh-CN" w:bidi="ar-SA"/>
              </w:rPr>
            </w:pPr>
            <w:r>
              <w:rPr>
                <w:rFonts w:hint="eastAsia" w:ascii="仿宋" w:hAnsi="仿宋" w:eastAsia="仿宋" w:cs="仿宋"/>
                <w:color w:val="000000"/>
                <w:kern w:val="0"/>
                <w:sz w:val="24"/>
                <w:szCs w:val="24"/>
                <w:lang w:val="zh-CN"/>
              </w:rPr>
              <w:t>评标委员会由使用科室负责人，财务科负责人，采购专家库随机抽取的专家组成。</w:t>
            </w:r>
          </w:p>
        </w:tc>
      </w:tr>
      <w:tr w14:paraId="7B8DE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1072F94D">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5.2</w:t>
            </w:r>
          </w:p>
        </w:tc>
        <w:tc>
          <w:tcPr>
            <w:tcW w:w="8498" w:type="dxa"/>
            <w:shd w:val="clear" w:color="auto" w:fill="auto"/>
            <w:noWrap w:val="0"/>
            <w:vAlign w:val="center"/>
          </w:tcPr>
          <w:p w14:paraId="34DD28BB">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评标方法：采用</w:t>
            </w:r>
            <w:r>
              <w:rPr>
                <w:rFonts w:hint="eastAsia" w:ascii="仿宋" w:hAnsi="仿宋" w:eastAsia="仿宋" w:cs="仿宋"/>
                <w:color w:val="000000"/>
                <w:sz w:val="24"/>
                <w:szCs w:val="24"/>
                <w:lang w:eastAsia="zh-CN"/>
              </w:rPr>
              <w:t>竞争性谈判</w:t>
            </w:r>
          </w:p>
        </w:tc>
      </w:tr>
      <w:tr w14:paraId="72FB0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53A2B87E">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5.3</w:t>
            </w:r>
          </w:p>
        </w:tc>
        <w:tc>
          <w:tcPr>
            <w:tcW w:w="8498" w:type="dxa"/>
            <w:shd w:val="clear" w:color="auto" w:fill="auto"/>
            <w:noWrap w:val="0"/>
            <w:vAlign w:val="center"/>
          </w:tcPr>
          <w:p w14:paraId="0CB5B5F1">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定标原则：最低评标价法</w:t>
            </w:r>
          </w:p>
        </w:tc>
      </w:tr>
      <w:tr w14:paraId="2FF08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617A7059">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六、授予合同</w:t>
            </w:r>
          </w:p>
        </w:tc>
      </w:tr>
      <w:tr w14:paraId="373EAF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72310D30">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6.1</w:t>
            </w:r>
          </w:p>
        </w:tc>
        <w:tc>
          <w:tcPr>
            <w:tcW w:w="8498" w:type="dxa"/>
            <w:shd w:val="clear" w:color="auto" w:fill="auto"/>
            <w:noWrap w:val="0"/>
            <w:vAlign w:val="center"/>
          </w:tcPr>
          <w:p w14:paraId="497B52FA">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合同签订时间：自《中标通知书》发出之日起</w:t>
            </w:r>
            <w:r>
              <w:rPr>
                <w:rFonts w:hint="eastAsia" w:ascii="仿宋" w:hAnsi="仿宋" w:eastAsia="仿宋" w:cs="仿宋"/>
                <w:color w:val="000000"/>
                <w:sz w:val="24"/>
                <w:szCs w:val="24"/>
                <w:lang w:eastAsia="zh-CN"/>
              </w:rPr>
              <w:t>十五</w:t>
            </w:r>
            <w:r>
              <w:rPr>
                <w:rFonts w:hint="eastAsia" w:ascii="仿宋" w:hAnsi="仿宋" w:eastAsia="仿宋" w:cs="仿宋"/>
                <w:color w:val="000000"/>
                <w:sz w:val="24"/>
                <w:szCs w:val="24"/>
              </w:rPr>
              <w:t>日内</w:t>
            </w:r>
          </w:p>
        </w:tc>
      </w:tr>
      <w:tr w14:paraId="319F5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0876055E">
            <w:pPr>
              <w:adjustRightInd w:val="0"/>
              <w:snapToGrid w:val="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6.2</w:t>
            </w:r>
          </w:p>
        </w:tc>
        <w:tc>
          <w:tcPr>
            <w:tcW w:w="8498" w:type="dxa"/>
            <w:shd w:val="clear" w:color="auto" w:fill="auto"/>
            <w:noWrap w:val="0"/>
            <w:vAlign w:val="center"/>
          </w:tcPr>
          <w:p w14:paraId="41F0BC6F">
            <w:pPr>
              <w:adjustRightInd w:val="0"/>
              <w:snapToGrid w:val="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履约保证金：无</w:t>
            </w:r>
          </w:p>
        </w:tc>
      </w:tr>
    </w:tbl>
    <w:p w14:paraId="257EDC1C"/>
    <w:p w14:paraId="149578DA">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bookmarkStart w:id="4" w:name="_Toc435514844"/>
      <w:bookmarkStart w:id="5" w:name="_Toc27840"/>
      <w:bookmarkStart w:id="6" w:name="_Toc435115053"/>
    </w:p>
    <w:p w14:paraId="7DF321E3">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1ED299DD">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43D643FC">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56B4EA5C">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0682728D">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11A065A5">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624150CC">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7F20553F">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037AC4D9">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4242ED39">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5417F1CF">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5FE82FFE">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4F2BAFB1">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37F026A6">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1E7235FD">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459ED18F">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54B1A784">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262BDF9D">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6992B0BE">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4B515869">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22E23737">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091B7359">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2DC7534D">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25038C73">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34C07B47">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37339342">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13AE4E46">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60B0624A">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7F1A7141">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31B2615C">
      <w:pPr>
        <w:keepNext w:val="0"/>
        <w:keepLines w:val="0"/>
        <w:pageBreakBefore w:val="0"/>
        <w:widowControl w:val="0"/>
        <w:kinsoku/>
        <w:wordWrap/>
        <w:overflowPunct/>
        <w:topLinePunct w:val="0"/>
        <w:bidi w:val="0"/>
        <w:spacing w:line="360" w:lineRule="exact"/>
        <w:jc w:val="center"/>
        <w:textAlignment w:val="auto"/>
        <w:outlineLvl w:val="0"/>
        <w:rPr>
          <w:rFonts w:hint="eastAsia" w:ascii="仿宋" w:hAnsi="仿宋" w:eastAsia="仿宋" w:cs="仿宋"/>
          <w:b/>
          <w:bCs/>
          <w:sz w:val="24"/>
          <w:szCs w:val="24"/>
        </w:rPr>
      </w:pPr>
    </w:p>
    <w:p w14:paraId="190B03EA">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宋体" w:hAnsi="宋体" w:eastAsia="宋体" w:cs="宋体"/>
          <w:b/>
          <w:bCs/>
          <w:sz w:val="44"/>
          <w:szCs w:val="44"/>
        </w:rPr>
      </w:pPr>
      <w:r>
        <w:rPr>
          <w:rFonts w:hint="eastAsia" w:ascii="宋体" w:hAnsi="宋体" w:eastAsia="宋体" w:cs="宋体"/>
          <w:b/>
          <w:bCs/>
          <w:sz w:val="44"/>
          <w:szCs w:val="44"/>
        </w:rPr>
        <w:t>第三章  评</w:t>
      </w:r>
      <w:r>
        <w:rPr>
          <w:rFonts w:hint="eastAsia" w:ascii="宋体" w:hAnsi="宋体" w:eastAsia="宋体" w:cs="宋体"/>
          <w:b/>
          <w:bCs/>
          <w:sz w:val="44"/>
          <w:szCs w:val="44"/>
          <w:lang w:eastAsia="zh-CN"/>
        </w:rPr>
        <w:t>价</w:t>
      </w:r>
      <w:r>
        <w:rPr>
          <w:rFonts w:hint="eastAsia" w:ascii="宋体" w:hAnsi="宋体" w:eastAsia="宋体" w:cs="宋体"/>
          <w:b/>
          <w:bCs/>
          <w:sz w:val="44"/>
          <w:szCs w:val="44"/>
        </w:rPr>
        <w:t>体系与标准</w:t>
      </w:r>
      <w:bookmarkEnd w:id="4"/>
      <w:bookmarkEnd w:id="5"/>
      <w:bookmarkEnd w:id="6"/>
    </w:p>
    <w:p w14:paraId="1AC90294">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本评标办法采用竞争性谈判方法。</w:t>
      </w:r>
    </w:p>
    <w:p w14:paraId="76CEEE07">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评标步骤：评标委员会先进行投标文件初审，对通过初审的投标文件进行技术、商务及价格的详细评审，最后评标委员会出具评标报告。</w:t>
      </w:r>
    </w:p>
    <w:p w14:paraId="76145812">
      <w:pPr>
        <w:keepNext w:val="0"/>
        <w:keepLines w:val="0"/>
        <w:pageBreakBefore w:val="0"/>
        <w:widowControl w:val="0"/>
        <w:numPr>
          <w:ilvl w:val="0"/>
          <w:numId w:val="0"/>
        </w:numPr>
        <w:tabs>
          <w:tab w:val="left" w:pos="630"/>
        </w:tabs>
        <w:kinsoku/>
        <w:wordWrap/>
        <w:overflowPunct/>
        <w:topLinePunct w:val="0"/>
        <w:autoSpaceDE w:val="0"/>
        <w:autoSpaceDN w:val="0"/>
        <w:bidi w:val="0"/>
        <w:adjustRightInd w:val="0"/>
        <w:snapToGrid w:val="0"/>
        <w:spacing w:line="560" w:lineRule="exact"/>
        <w:ind w:leftChars="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本次招标采用最低价评标法进行评审，在满足招标方技术和质量要求的情况下，采用两次报价，由最低价中标；</w:t>
      </w:r>
    </w:p>
    <w:p w14:paraId="5C242740">
      <w:pPr>
        <w:keepNext w:val="0"/>
        <w:keepLines w:val="0"/>
        <w:pageBreakBefore w:val="0"/>
        <w:widowControl w:val="0"/>
        <w:kinsoku/>
        <w:wordWrap/>
        <w:overflowPunct/>
        <w:topLinePunct w:val="0"/>
        <w:bidi w:val="0"/>
        <w:spacing w:line="560" w:lineRule="exact"/>
        <w:ind w:firstLine="640" w:firstLineChars="200"/>
        <w:textAlignment w:val="auto"/>
        <w:outlineLvl w:val="0"/>
        <w:rPr>
          <w:rFonts w:ascii="仿宋" w:hAnsi="仿宋" w:eastAsia="仿宋" w:cs="仿宋"/>
          <w:sz w:val="32"/>
          <w:szCs w:val="32"/>
        </w:rPr>
      </w:pPr>
      <w:r>
        <w:rPr>
          <w:rFonts w:hint="eastAsia" w:ascii="仿宋" w:hAnsi="仿宋" w:eastAsia="仿宋" w:cs="仿宋"/>
          <w:sz w:val="32"/>
          <w:szCs w:val="32"/>
        </w:rPr>
        <w:t>4.资格、符合性评审条款</w:t>
      </w:r>
    </w:p>
    <w:p w14:paraId="52C4BB69">
      <w:pPr>
        <w:keepNext w:val="0"/>
        <w:keepLines w:val="0"/>
        <w:pageBreakBefore w:val="0"/>
        <w:widowControl w:val="0"/>
        <w:kinsoku/>
        <w:wordWrap/>
        <w:overflowPunct/>
        <w:topLinePunct w:val="0"/>
        <w:bidi w:val="0"/>
        <w:spacing w:line="360" w:lineRule="exact"/>
        <w:jc w:val="center"/>
        <w:textAlignment w:val="auto"/>
        <w:outlineLvl w:val="0"/>
        <w:rPr>
          <w:rFonts w:ascii="仿宋" w:hAnsi="仿宋" w:eastAsia="仿宋" w:cs="仿宋"/>
          <w:b/>
          <w:bCs/>
          <w:sz w:val="32"/>
          <w:szCs w:val="32"/>
        </w:rPr>
      </w:pPr>
      <w:bookmarkStart w:id="7" w:name="_Toc435514845"/>
      <w:bookmarkStart w:id="8" w:name="_Toc31730"/>
      <w:r>
        <w:rPr>
          <w:rFonts w:hint="eastAsia" w:ascii="仿宋" w:hAnsi="仿宋" w:eastAsia="仿宋" w:cs="仿宋"/>
          <w:b/>
          <w:bCs/>
          <w:sz w:val="32"/>
          <w:szCs w:val="32"/>
        </w:rPr>
        <w:t>资格、符合性评审条款</w:t>
      </w:r>
      <w:bookmarkEnd w:id="7"/>
      <w:bookmarkEnd w:id="8"/>
    </w:p>
    <w:tbl>
      <w:tblPr>
        <w:tblStyle w:val="10"/>
        <w:tblW w:w="9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23"/>
        <w:gridCol w:w="1935"/>
        <w:gridCol w:w="5219"/>
      </w:tblGrid>
      <w:tr w14:paraId="7078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13" w:type="dxa"/>
            <w:tcBorders>
              <w:top w:val="single" w:color="auto" w:sz="12" w:space="0"/>
              <w:left w:val="single" w:color="auto" w:sz="12" w:space="0"/>
            </w:tcBorders>
            <w:noWrap w:val="0"/>
            <w:vAlign w:val="center"/>
          </w:tcPr>
          <w:p w14:paraId="6458752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523" w:type="dxa"/>
            <w:tcBorders>
              <w:top w:val="single" w:color="auto" w:sz="12" w:space="0"/>
              <w:right w:val="single" w:color="auto" w:sz="12" w:space="0"/>
            </w:tcBorders>
            <w:noWrap w:val="0"/>
            <w:vAlign w:val="center"/>
          </w:tcPr>
          <w:p w14:paraId="0809D960">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评审目录</w:t>
            </w:r>
          </w:p>
        </w:tc>
        <w:tc>
          <w:tcPr>
            <w:tcW w:w="1935" w:type="dxa"/>
            <w:tcBorders>
              <w:top w:val="single" w:color="auto" w:sz="12" w:space="0"/>
              <w:right w:val="single" w:color="auto" w:sz="12" w:space="0"/>
            </w:tcBorders>
            <w:noWrap w:val="0"/>
            <w:vAlign w:val="center"/>
          </w:tcPr>
          <w:p w14:paraId="4BA0FF90">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评审因素</w:t>
            </w:r>
          </w:p>
        </w:tc>
        <w:tc>
          <w:tcPr>
            <w:tcW w:w="5219" w:type="dxa"/>
            <w:tcBorders>
              <w:top w:val="single" w:color="auto" w:sz="12" w:space="0"/>
              <w:right w:val="single" w:color="auto" w:sz="12" w:space="0"/>
            </w:tcBorders>
            <w:noWrap w:val="0"/>
            <w:vAlign w:val="center"/>
          </w:tcPr>
          <w:p w14:paraId="7AD7AC9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评审标准</w:t>
            </w:r>
          </w:p>
        </w:tc>
      </w:tr>
      <w:tr w14:paraId="6CDA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4617FFD3">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noWrap w:val="0"/>
            <w:vAlign w:val="center"/>
          </w:tcPr>
          <w:p w14:paraId="477896C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形式评审标准</w:t>
            </w:r>
          </w:p>
        </w:tc>
        <w:tc>
          <w:tcPr>
            <w:tcW w:w="1935" w:type="dxa"/>
            <w:tcBorders>
              <w:right w:val="single" w:color="auto" w:sz="12" w:space="0"/>
            </w:tcBorders>
            <w:noWrap w:val="0"/>
            <w:vAlign w:val="center"/>
          </w:tcPr>
          <w:p w14:paraId="7FCE28AD">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投标供应商名称</w:t>
            </w:r>
          </w:p>
        </w:tc>
        <w:tc>
          <w:tcPr>
            <w:tcW w:w="5219" w:type="dxa"/>
            <w:tcBorders>
              <w:right w:val="single" w:color="auto" w:sz="12" w:space="0"/>
            </w:tcBorders>
            <w:noWrap w:val="0"/>
            <w:vAlign w:val="center"/>
          </w:tcPr>
          <w:p w14:paraId="47FFA0E1">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与营业执照、医疗器械经营企业许可证一致</w:t>
            </w:r>
          </w:p>
        </w:tc>
      </w:tr>
      <w:tr w14:paraId="1079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2DB1D988">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noWrap w:val="0"/>
            <w:vAlign w:val="center"/>
          </w:tcPr>
          <w:p w14:paraId="632AC025">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935" w:type="dxa"/>
            <w:tcBorders>
              <w:right w:val="single" w:color="auto" w:sz="12" w:space="0"/>
            </w:tcBorders>
            <w:noWrap w:val="0"/>
            <w:vAlign w:val="center"/>
          </w:tcPr>
          <w:p w14:paraId="0725264E">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投标函签字盖章</w:t>
            </w:r>
          </w:p>
        </w:tc>
        <w:tc>
          <w:tcPr>
            <w:tcW w:w="5219" w:type="dxa"/>
            <w:tcBorders>
              <w:right w:val="single" w:color="auto" w:sz="12" w:space="0"/>
            </w:tcBorders>
            <w:noWrap w:val="0"/>
            <w:vAlign w:val="center"/>
          </w:tcPr>
          <w:p w14:paraId="69317E82">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投标文件中要求签字的页面，应由投标供应商的法定代表人或其委托代理人亲笔签署姓名；</w:t>
            </w:r>
            <w:r>
              <w:rPr>
                <w:rFonts w:hint="eastAsia" w:ascii="仿宋" w:hAnsi="仿宋" w:eastAsia="仿宋" w:cs="仿宋"/>
                <w:sz w:val="24"/>
                <w:szCs w:val="24"/>
                <w:lang w:eastAsia="zh-CN"/>
              </w:rPr>
              <w:t>投标文件均需加盖投标</w:t>
            </w:r>
            <w:r>
              <w:rPr>
                <w:rFonts w:hint="eastAsia" w:ascii="仿宋" w:hAnsi="仿宋" w:eastAsia="仿宋" w:cs="仿宋"/>
                <w:sz w:val="24"/>
                <w:szCs w:val="24"/>
              </w:rPr>
              <w:t>单位公章。</w:t>
            </w:r>
          </w:p>
        </w:tc>
      </w:tr>
      <w:tr w14:paraId="2D88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4835A705">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noWrap w:val="0"/>
            <w:vAlign w:val="center"/>
          </w:tcPr>
          <w:p w14:paraId="0ABA6228">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资格评审标准</w:t>
            </w:r>
          </w:p>
        </w:tc>
        <w:tc>
          <w:tcPr>
            <w:tcW w:w="1935" w:type="dxa"/>
            <w:tcBorders>
              <w:right w:val="single" w:color="auto" w:sz="12" w:space="0"/>
            </w:tcBorders>
            <w:noWrap w:val="0"/>
            <w:vAlign w:val="center"/>
          </w:tcPr>
          <w:p w14:paraId="32BEB551">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营业执照</w:t>
            </w:r>
          </w:p>
        </w:tc>
        <w:tc>
          <w:tcPr>
            <w:tcW w:w="5219" w:type="dxa"/>
            <w:tcBorders>
              <w:right w:val="single" w:color="auto" w:sz="12" w:space="0"/>
            </w:tcBorders>
            <w:noWrap w:val="0"/>
            <w:vAlign w:val="center"/>
          </w:tcPr>
          <w:p w14:paraId="05BC6257">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具备有效的营业执照</w:t>
            </w:r>
          </w:p>
        </w:tc>
      </w:tr>
      <w:tr w14:paraId="6767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43F31A79">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kern w:val="0"/>
                <w:sz w:val="24"/>
                <w:szCs w:val="24"/>
              </w:rPr>
            </w:pPr>
          </w:p>
        </w:tc>
        <w:tc>
          <w:tcPr>
            <w:tcW w:w="1523" w:type="dxa"/>
            <w:vMerge w:val="continue"/>
            <w:tcBorders>
              <w:right w:val="single" w:color="auto" w:sz="12" w:space="0"/>
            </w:tcBorders>
            <w:noWrap w:val="0"/>
            <w:vAlign w:val="center"/>
          </w:tcPr>
          <w:p w14:paraId="12AADF0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935" w:type="dxa"/>
            <w:tcBorders>
              <w:right w:val="single" w:color="auto" w:sz="12" w:space="0"/>
            </w:tcBorders>
            <w:noWrap w:val="0"/>
            <w:vAlign w:val="center"/>
          </w:tcPr>
          <w:p w14:paraId="04DD412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资格要求</w:t>
            </w:r>
          </w:p>
        </w:tc>
        <w:tc>
          <w:tcPr>
            <w:tcW w:w="5219" w:type="dxa"/>
            <w:tcBorders>
              <w:right w:val="single" w:color="auto" w:sz="12" w:space="0"/>
            </w:tcBorders>
            <w:noWrap w:val="0"/>
            <w:vAlign w:val="center"/>
          </w:tcPr>
          <w:p w14:paraId="237E06F1">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投标供应商须取得取得行政主管部门颁发的医疗器械经营许可证或医疗器械生产企业许可证（或备案凭证）；投标产品须取得相应的行政主管部门颁发的医疗器械产品注册证或备案证（国家有要求的产品）。</w:t>
            </w:r>
          </w:p>
        </w:tc>
      </w:tr>
      <w:tr w14:paraId="559D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6" w:hRule="atLeast"/>
          <w:jc w:val="center"/>
        </w:trPr>
        <w:tc>
          <w:tcPr>
            <w:tcW w:w="713" w:type="dxa"/>
            <w:tcBorders>
              <w:left w:val="single" w:color="auto" w:sz="12" w:space="0"/>
            </w:tcBorders>
            <w:noWrap w:val="0"/>
            <w:vAlign w:val="center"/>
          </w:tcPr>
          <w:p w14:paraId="66E6E51D">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noWrap w:val="0"/>
            <w:vAlign w:val="center"/>
          </w:tcPr>
          <w:p w14:paraId="33E7A003">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935" w:type="dxa"/>
            <w:tcBorders>
              <w:right w:val="single" w:color="auto" w:sz="12" w:space="0"/>
            </w:tcBorders>
            <w:noWrap w:val="0"/>
            <w:vAlign w:val="center"/>
          </w:tcPr>
          <w:p w14:paraId="0A1766F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财务要求</w:t>
            </w:r>
          </w:p>
        </w:tc>
        <w:tc>
          <w:tcPr>
            <w:tcW w:w="5219" w:type="dxa"/>
            <w:tcBorders>
              <w:right w:val="single" w:color="auto" w:sz="12" w:space="0"/>
            </w:tcBorders>
            <w:noWrap w:val="0"/>
            <w:vAlign w:val="center"/>
          </w:tcPr>
          <w:p w14:paraId="13DA572F">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财务状况良好。投标人为新成立的，须提供成立至今的月或季度财务报表复印件或自本招标公告发布之日起由投标人基本开户银行出具的资信证明原件。</w:t>
            </w:r>
          </w:p>
        </w:tc>
      </w:tr>
      <w:tr w14:paraId="3140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4F19A6A7">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tcBorders>
              <w:right w:val="single" w:color="auto" w:sz="12" w:space="0"/>
            </w:tcBorders>
            <w:noWrap w:val="0"/>
            <w:vAlign w:val="center"/>
          </w:tcPr>
          <w:p w14:paraId="606F1F7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935" w:type="dxa"/>
            <w:tcBorders>
              <w:right w:val="single" w:color="auto" w:sz="12" w:space="0"/>
            </w:tcBorders>
            <w:noWrap w:val="0"/>
            <w:vAlign w:val="center"/>
          </w:tcPr>
          <w:p w14:paraId="24C18994">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信誉要求</w:t>
            </w:r>
          </w:p>
        </w:tc>
        <w:tc>
          <w:tcPr>
            <w:tcW w:w="5219" w:type="dxa"/>
            <w:tcBorders>
              <w:right w:val="single" w:color="auto" w:sz="12" w:space="0"/>
            </w:tcBorders>
            <w:noWrap w:val="0"/>
            <w:vAlign w:val="center"/>
          </w:tcPr>
          <w:p w14:paraId="5614D646">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投标供应商在“信用中国”网站（www.creditchina.gov.cn）上未被列入失信被执行人、重大税收违法案件当事人名单、中国政府采购网（www.ccgp.gov.cn）上未被列入政府采购严重违法失信行为记录名单的不良行为记录；中国裁判文书网（http://wenshu.court.gov.cn/渠道查询无不良记录；查询时点为投标报名截止时间开始。</w:t>
            </w:r>
          </w:p>
        </w:tc>
      </w:tr>
      <w:tr w14:paraId="16A8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1C8D60A6">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restart"/>
            <w:tcBorders>
              <w:right w:val="single" w:color="auto" w:sz="12" w:space="0"/>
            </w:tcBorders>
            <w:noWrap w:val="0"/>
            <w:vAlign w:val="center"/>
          </w:tcPr>
          <w:p w14:paraId="38737AEA">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响应性</w:t>
            </w:r>
          </w:p>
          <w:p w14:paraId="13EE1259">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评审</w:t>
            </w:r>
          </w:p>
          <w:p w14:paraId="24CD121A">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标准</w:t>
            </w:r>
          </w:p>
          <w:p w14:paraId="5EE0283B">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935" w:type="dxa"/>
            <w:tcBorders>
              <w:right w:val="single" w:color="auto" w:sz="12" w:space="0"/>
            </w:tcBorders>
            <w:noWrap w:val="0"/>
            <w:vAlign w:val="center"/>
          </w:tcPr>
          <w:p w14:paraId="71115182">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投标报价</w:t>
            </w:r>
          </w:p>
        </w:tc>
        <w:tc>
          <w:tcPr>
            <w:tcW w:w="5219" w:type="dxa"/>
            <w:tcBorders>
              <w:right w:val="single" w:color="auto" w:sz="12" w:space="0"/>
            </w:tcBorders>
            <w:noWrap w:val="0"/>
            <w:vAlign w:val="center"/>
          </w:tcPr>
          <w:p w14:paraId="070C7820">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招标人设有招标控制价的，投标供应商的投标报价不得超过招标控制价</w:t>
            </w:r>
          </w:p>
        </w:tc>
      </w:tr>
      <w:tr w14:paraId="49B6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713" w:type="dxa"/>
            <w:tcBorders>
              <w:left w:val="single" w:color="auto" w:sz="12" w:space="0"/>
            </w:tcBorders>
            <w:noWrap w:val="0"/>
            <w:vAlign w:val="center"/>
          </w:tcPr>
          <w:p w14:paraId="6E4936E1">
            <w:pPr>
              <w:keepNext w:val="0"/>
              <w:keepLines w:val="0"/>
              <w:pageBreakBefore w:val="0"/>
              <w:widowControl w:val="0"/>
              <w:numPr>
                <w:ilvl w:val="0"/>
                <w:numId w:val="2"/>
              </w:numPr>
              <w:tabs>
                <w:tab w:val="left" w:pos="176"/>
                <w:tab w:val="left" w:pos="612"/>
                <w:tab w:val="clear" w:pos="420"/>
              </w:tabs>
              <w:kinsoku/>
              <w:wordWrap/>
              <w:overflowPunct/>
              <w:topLinePunct w:val="0"/>
              <w:bidi w:val="0"/>
              <w:spacing w:line="360" w:lineRule="exact"/>
              <w:jc w:val="center"/>
              <w:textAlignment w:val="auto"/>
              <w:rPr>
                <w:rFonts w:ascii="仿宋" w:hAnsi="仿宋" w:eastAsia="仿宋" w:cs="仿宋"/>
                <w:sz w:val="24"/>
                <w:szCs w:val="24"/>
              </w:rPr>
            </w:pPr>
          </w:p>
        </w:tc>
        <w:tc>
          <w:tcPr>
            <w:tcW w:w="1523" w:type="dxa"/>
            <w:vMerge w:val="continue"/>
            <w:tcBorders>
              <w:right w:val="single" w:color="auto" w:sz="12" w:space="0"/>
            </w:tcBorders>
            <w:noWrap w:val="0"/>
            <w:vAlign w:val="center"/>
          </w:tcPr>
          <w:p w14:paraId="20406D76">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p>
        </w:tc>
        <w:tc>
          <w:tcPr>
            <w:tcW w:w="1935" w:type="dxa"/>
            <w:tcBorders>
              <w:right w:val="single" w:color="auto" w:sz="12" w:space="0"/>
            </w:tcBorders>
            <w:noWrap w:val="0"/>
            <w:vAlign w:val="center"/>
          </w:tcPr>
          <w:p w14:paraId="0EFEDE4C">
            <w:pPr>
              <w:keepNext w:val="0"/>
              <w:keepLines w:val="0"/>
              <w:pageBreakBefore w:val="0"/>
              <w:widowControl w:val="0"/>
              <w:kinsoku/>
              <w:wordWrap/>
              <w:overflowPunct/>
              <w:topLinePunct w:val="0"/>
              <w:bidi w:val="0"/>
              <w:spacing w:line="360" w:lineRule="exact"/>
              <w:jc w:val="center"/>
              <w:textAlignment w:val="auto"/>
              <w:rPr>
                <w:rFonts w:ascii="仿宋" w:hAnsi="仿宋" w:eastAsia="仿宋" w:cs="仿宋"/>
                <w:sz w:val="24"/>
                <w:szCs w:val="24"/>
              </w:rPr>
            </w:pPr>
            <w:r>
              <w:rPr>
                <w:rFonts w:hint="eastAsia" w:ascii="仿宋" w:hAnsi="仿宋" w:eastAsia="仿宋" w:cs="仿宋"/>
                <w:sz w:val="24"/>
                <w:szCs w:val="24"/>
              </w:rPr>
              <w:t>交货期</w:t>
            </w:r>
          </w:p>
        </w:tc>
        <w:tc>
          <w:tcPr>
            <w:tcW w:w="5219" w:type="dxa"/>
            <w:tcBorders>
              <w:right w:val="single" w:color="auto" w:sz="12" w:space="0"/>
            </w:tcBorders>
            <w:noWrap w:val="0"/>
            <w:vAlign w:val="center"/>
          </w:tcPr>
          <w:p w14:paraId="0E65FECA">
            <w:pPr>
              <w:keepNext w:val="0"/>
              <w:keepLines w:val="0"/>
              <w:pageBreakBefore w:val="0"/>
              <w:widowControl w:val="0"/>
              <w:kinsoku/>
              <w:wordWrap/>
              <w:overflowPunct/>
              <w:topLinePunct w:val="0"/>
              <w:bidi w:val="0"/>
              <w:spacing w:line="360" w:lineRule="exact"/>
              <w:textAlignment w:val="auto"/>
              <w:rPr>
                <w:rFonts w:ascii="仿宋" w:hAnsi="仿宋" w:eastAsia="仿宋" w:cs="仿宋"/>
                <w:sz w:val="24"/>
                <w:szCs w:val="24"/>
              </w:rPr>
            </w:pPr>
            <w:r>
              <w:rPr>
                <w:rFonts w:hint="eastAsia" w:ascii="仿宋" w:hAnsi="仿宋" w:eastAsia="仿宋" w:cs="仿宋"/>
                <w:sz w:val="24"/>
                <w:szCs w:val="24"/>
              </w:rPr>
              <w:t>合同签订后</w:t>
            </w:r>
            <w:r>
              <w:rPr>
                <w:rFonts w:hint="eastAsia" w:ascii="仿宋" w:hAnsi="仿宋" w:eastAsia="仿宋" w:cs="仿宋"/>
                <w:sz w:val="24"/>
                <w:szCs w:val="24"/>
                <w:lang w:val="en-US" w:eastAsia="zh-CN"/>
              </w:rPr>
              <w:t>15</w:t>
            </w:r>
            <w:r>
              <w:rPr>
                <w:rFonts w:hint="eastAsia" w:ascii="仿宋" w:hAnsi="仿宋" w:eastAsia="仿宋" w:cs="仿宋"/>
                <w:sz w:val="24"/>
                <w:szCs w:val="24"/>
              </w:rPr>
              <w:t>个工作日内安装调试完毕并交付使用。</w:t>
            </w:r>
          </w:p>
        </w:tc>
      </w:tr>
    </w:tbl>
    <w:p w14:paraId="0A06F42F"/>
    <w:p w14:paraId="75ADB631"/>
    <w:p w14:paraId="2735A42D"/>
    <w:p w14:paraId="0DEC6170"/>
    <w:p w14:paraId="71AA0E6E"/>
    <w:p w14:paraId="657AE2B6"/>
    <w:p w14:paraId="12818734"/>
    <w:p w14:paraId="240680F8"/>
    <w:p w14:paraId="0D005C4B"/>
    <w:p w14:paraId="3F864647"/>
    <w:p w14:paraId="0C80FDDD"/>
    <w:p w14:paraId="60506845"/>
    <w:p w14:paraId="1C14EC37"/>
    <w:p w14:paraId="17B0843C"/>
    <w:p w14:paraId="45FAD27C"/>
    <w:p w14:paraId="640DC8FF"/>
    <w:p w14:paraId="3522421E"/>
    <w:p w14:paraId="778857D0"/>
    <w:p w14:paraId="2FA61C8A"/>
    <w:p w14:paraId="5356FC2F"/>
    <w:p w14:paraId="10BF412D"/>
    <w:p w14:paraId="7B0E4CDE"/>
    <w:p w14:paraId="30A95497"/>
    <w:p w14:paraId="58AD454D"/>
    <w:p w14:paraId="6F1EB31F"/>
    <w:p w14:paraId="548D8258"/>
    <w:p w14:paraId="10128B28">
      <w:pPr>
        <w:pStyle w:val="3"/>
        <w:numPr>
          <w:ilvl w:val="0"/>
          <w:numId w:val="0"/>
        </w:numPr>
        <w:spacing w:line="360" w:lineRule="auto"/>
        <w:jc w:val="center"/>
        <w:rPr>
          <w:rFonts w:hint="eastAsia" w:ascii="宋体" w:hAnsi="宋体" w:eastAsia="宋体" w:cs="宋体"/>
          <w:b/>
          <w:bCs/>
          <w:sz w:val="44"/>
          <w:szCs w:val="44"/>
        </w:rPr>
      </w:pPr>
      <w:r>
        <w:rPr>
          <w:rFonts w:hint="eastAsia" w:ascii="宋体" w:hAnsi="宋体" w:eastAsia="宋体" w:cs="宋体"/>
          <w:b/>
          <w:bCs/>
          <w:kern w:val="0"/>
          <w:sz w:val="44"/>
          <w:szCs w:val="44"/>
          <w:lang w:val="en-US" w:eastAsia="zh-CN" w:bidi="ar-SA"/>
        </w:rPr>
        <w:t xml:space="preserve">第四章  </w:t>
      </w:r>
      <w:r>
        <w:rPr>
          <w:rFonts w:hint="eastAsia" w:ascii="宋体" w:hAnsi="宋体" w:eastAsia="宋体" w:cs="宋体"/>
          <w:b/>
          <w:bCs/>
          <w:sz w:val="44"/>
          <w:szCs w:val="44"/>
        </w:rPr>
        <w:t>技术参数说明</w:t>
      </w:r>
    </w:p>
    <w:p w14:paraId="11274E08">
      <w:pPr>
        <w:widowControl/>
        <w:spacing w:line="480" w:lineRule="exact"/>
        <w:jc w:val="center"/>
        <w:rPr>
          <w:rFonts w:hint="eastAsia" w:ascii="宋体" w:hAnsi="宋体" w:eastAsia="宋体" w:cs="宋体"/>
          <w:b/>
          <w:kern w:val="0"/>
          <w:sz w:val="44"/>
          <w:szCs w:val="44"/>
        </w:rPr>
      </w:pPr>
      <w:r>
        <w:rPr>
          <w:rFonts w:hint="eastAsia" w:ascii="宋体" w:hAnsi="宋体" w:eastAsia="宋体" w:cs="宋体"/>
          <w:b/>
          <w:kern w:val="0"/>
          <w:sz w:val="44"/>
          <w:szCs w:val="44"/>
        </w:rPr>
        <w:t>除颤起搏监护仪技术规格要求</w:t>
      </w:r>
    </w:p>
    <w:p w14:paraId="649DBF02">
      <w:pPr>
        <w:widowControl/>
        <w:spacing w:line="480" w:lineRule="exact"/>
        <w:jc w:val="center"/>
        <w:rPr>
          <w:rFonts w:hint="eastAsia" w:ascii="仿宋" w:hAnsi="仿宋" w:eastAsia="仿宋" w:cs="仿宋"/>
          <w:kern w:val="0"/>
          <w:sz w:val="24"/>
          <w:szCs w:val="24"/>
        </w:rPr>
      </w:pPr>
    </w:p>
    <w:p w14:paraId="3FC61FDD">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重量：≤</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kg（含电池）</w:t>
      </w:r>
    </w:p>
    <w:p w14:paraId="3CC57BD0">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彩色电容触摸屏≥8英寸, 分辨率1024×768像素，可显示≥5通道监护参数波形，支持手势操作、自动亮度调节。</w:t>
      </w:r>
    </w:p>
    <w:p w14:paraId="145BBAFC">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提供图形化故障排除指引，帮助医护人员快速解决设备故障。</w:t>
      </w:r>
    </w:p>
    <w:p w14:paraId="07B52C04">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9" w:name="_Hlk168322752"/>
      <w:r>
        <w:rPr>
          <w:rFonts w:hint="eastAsia" w:ascii="仿宋" w:hAnsi="仿宋" w:eastAsia="仿宋" w:cs="仿宋"/>
          <w:kern w:val="0"/>
          <w:sz w:val="32"/>
          <w:szCs w:val="32"/>
        </w:rPr>
        <w:t>支持中文操作界面。</w:t>
      </w:r>
    </w:p>
    <w:bookmarkEnd w:id="9"/>
    <w:p w14:paraId="5F82E95F">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屏幕显示心电波形扫描时间最大不小于36s。</w:t>
      </w:r>
    </w:p>
    <w:p w14:paraId="0FE1FBC5">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具备手动除颤、心电监护、呼吸监护、自动体外除颤（AED）功能，AED功能适用于29天以上人群（需提供NMPA注册证明材料）。</w:t>
      </w:r>
    </w:p>
    <w:p w14:paraId="69D9C679">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除颤采用双相波技术，具备自动阻抗补偿功能。</w:t>
      </w:r>
    </w:p>
    <w:p w14:paraId="3A9EE590">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10" w:name="_Hlk172228867"/>
      <w:r>
        <w:rPr>
          <w:rFonts w:hint="eastAsia" w:ascii="仿宋" w:hAnsi="仿宋" w:eastAsia="仿宋" w:cs="仿宋"/>
          <w:kern w:val="0"/>
          <w:sz w:val="32"/>
          <w:szCs w:val="32"/>
        </w:rPr>
        <w:t>手动除颤分为同步和</w:t>
      </w:r>
      <w:r>
        <w:rPr>
          <w:rFonts w:hint="eastAsia" w:ascii="仿宋" w:hAnsi="仿宋" w:eastAsia="仿宋" w:cs="仿宋"/>
          <w:kern w:val="0"/>
          <w:sz w:val="32"/>
          <w:szCs w:val="32"/>
          <w:lang w:eastAsia="zh-CN"/>
        </w:rPr>
        <w:t>非同</w:t>
      </w:r>
      <w:r>
        <w:rPr>
          <w:rFonts w:hint="eastAsia" w:ascii="仿宋" w:hAnsi="仿宋" w:eastAsia="仿宋" w:cs="仿宋"/>
          <w:kern w:val="0"/>
          <w:sz w:val="32"/>
          <w:szCs w:val="32"/>
        </w:rPr>
        <w:t>步两种方式，能量分20档以上，可通过体外电极板进行能量选择，最大能量可达360J。</w:t>
      </w:r>
      <w:bookmarkEnd w:id="10"/>
      <w:bookmarkStart w:id="11" w:name="_Hlk172227797"/>
      <w:bookmarkStart w:id="12" w:name="_Hlk172228884"/>
    </w:p>
    <w:bookmarkEnd w:id="11"/>
    <w:bookmarkEnd w:id="12"/>
    <w:p w14:paraId="2C59ADFC">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13" w:name="_Hlk172228969"/>
      <w:r>
        <w:rPr>
          <w:rFonts w:hint="eastAsia" w:ascii="仿宋" w:hAnsi="仿宋" w:eastAsia="仿宋" w:cs="仿宋"/>
          <w:kern w:val="0"/>
          <w:sz w:val="32"/>
          <w:szCs w:val="32"/>
        </w:rPr>
        <w:t>体外除颤电极板同时支持成人和小儿，一体化设计，支持快速切换。</w:t>
      </w:r>
    </w:p>
    <w:p w14:paraId="466CCD2D">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14" w:name="_Hlk172228908"/>
      <w:r>
        <w:rPr>
          <w:rFonts w:hint="eastAsia" w:ascii="仿宋" w:hAnsi="仿宋" w:eastAsia="仿宋" w:cs="仿宋"/>
          <w:kern w:val="0"/>
          <w:sz w:val="32"/>
          <w:szCs w:val="32"/>
        </w:rPr>
        <w:t>电极板支持能量选择，充电和放电三步操作，满足单人除</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颤操作</w:t>
      </w:r>
      <w:r>
        <w:rPr>
          <w:rFonts w:hint="eastAsia" w:ascii="仿宋" w:hAnsi="仿宋" w:eastAsia="仿宋" w:cs="仿宋"/>
          <w:kern w:val="0"/>
          <w:sz w:val="32"/>
          <w:szCs w:val="32"/>
          <w:lang w:eastAsia="zh-CN"/>
        </w:rPr>
        <w:t>。</w:t>
      </w:r>
    </w:p>
    <w:bookmarkEnd w:id="14"/>
    <w:p w14:paraId="10F0A5B0">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AED除颤功能提供中文语音和中文提醒功能，对于抢救过程支持自动录音功能，记录时长≥8小时</w:t>
      </w:r>
      <w:r>
        <w:rPr>
          <w:rFonts w:hint="eastAsia" w:ascii="仿宋" w:hAnsi="仿宋" w:eastAsia="仿宋" w:cs="仿宋"/>
          <w:kern w:val="0"/>
          <w:sz w:val="32"/>
          <w:szCs w:val="32"/>
          <w:lang w:eastAsia="zh-CN"/>
        </w:rPr>
        <w:t>。</w:t>
      </w:r>
    </w:p>
    <w:p w14:paraId="1E34D719">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开机到可正常使用时间≤2s，符合临床使用</w:t>
      </w:r>
      <w:r>
        <w:rPr>
          <w:rFonts w:hint="eastAsia" w:ascii="仿宋" w:hAnsi="仿宋" w:eastAsia="仿宋" w:cs="仿宋"/>
          <w:kern w:val="0"/>
          <w:sz w:val="32"/>
          <w:szCs w:val="32"/>
          <w:lang w:eastAsia="zh-CN"/>
        </w:rPr>
        <w:t>。</w:t>
      </w:r>
    </w:p>
    <w:p w14:paraId="69B8C284">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除颤充电迅速，充电至200J≤4s</w:t>
      </w:r>
      <w:r>
        <w:rPr>
          <w:rFonts w:hint="eastAsia" w:ascii="仿宋" w:hAnsi="仿宋" w:eastAsia="仿宋" w:cs="仿宋"/>
          <w:kern w:val="0"/>
          <w:sz w:val="32"/>
          <w:szCs w:val="32"/>
          <w:lang w:eastAsia="zh-CN"/>
        </w:rPr>
        <w:t>。</w:t>
      </w:r>
    </w:p>
    <w:p w14:paraId="53E26F18">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除颤后心电基线恢复时间≤2.5s</w:t>
      </w:r>
      <w:r>
        <w:rPr>
          <w:rFonts w:hint="eastAsia" w:ascii="仿宋" w:hAnsi="仿宋" w:eastAsia="仿宋" w:cs="仿宋"/>
          <w:kern w:val="0"/>
          <w:sz w:val="32"/>
          <w:szCs w:val="32"/>
          <w:lang w:eastAsia="zh-CN"/>
        </w:rPr>
        <w:t>。</w:t>
      </w:r>
    </w:p>
    <w:p w14:paraId="4123E2B8">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从开始AED分析到放电准备就绪≤10s</w:t>
      </w:r>
      <w:r>
        <w:rPr>
          <w:rFonts w:hint="eastAsia" w:ascii="仿宋" w:hAnsi="仿宋" w:eastAsia="仿宋" w:cs="仿宋"/>
          <w:kern w:val="0"/>
          <w:sz w:val="32"/>
          <w:szCs w:val="32"/>
          <w:lang w:eastAsia="zh-CN"/>
        </w:rPr>
        <w:t>。</w:t>
      </w:r>
    </w:p>
    <w:p w14:paraId="7ECC5427">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体外电极板支持病人接触状态显示。</w:t>
      </w:r>
    </w:p>
    <w:p w14:paraId="6AB40297">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支持智能分析功能，手动除颤模式下也可提供自动节律分析和操作指引</w:t>
      </w:r>
      <w:r>
        <w:rPr>
          <w:rFonts w:hint="eastAsia" w:ascii="仿宋" w:hAnsi="仿宋" w:eastAsia="仿宋" w:cs="仿宋"/>
          <w:kern w:val="0"/>
          <w:sz w:val="32"/>
          <w:szCs w:val="32"/>
          <w:lang w:eastAsia="zh-CN"/>
        </w:rPr>
        <w:t>。</w:t>
      </w:r>
    </w:p>
    <w:bookmarkEnd w:id="13"/>
    <w:p w14:paraId="1389D3BC">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15" w:name="_Hlk172229010"/>
      <w:r>
        <w:rPr>
          <w:rFonts w:hint="eastAsia" w:ascii="仿宋" w:hAnsi="仿宋" w:eastAsia="仿宋" w:cs="仿宋"/>
          <w:kern w:val="0"/>
          <w:sz w:val="32"/>
          <w:szCs w:val="32"/>
        </w:rPr>
        <w:t>提供CPR按压干扰滤过功能，通过除颤电极片或CPR传感器自动检测按压干扰并实时滤波，减少按压中断。</w:t>
      </w:r>
    </w:p>
    <w:p w14:paraId="152DA142">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抢救结束后自动生成抢救报告，并可通过网络将除颤和按压数据自动上传至急救数据分析系统；急救数据分析系统提供抢救数据复盘、分析工具。</w:t>
      </w:r>
    </w:p>
    <w:p w14:paraId="4DD5FC04">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支持培训模式，包含CPR操作培训、抢救操作培训；可提供培训考核系统，支持多台设备同时接入进行在线培训、考核。</w:t>
      </w:r>
    </w:p>
    <w:p w14:paraId="1823D5CF">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心电波形速度支持50 mm/s、25 mm/s、12.5 mm/s、6.25 mm/s。阻抗呼吸波形速度支持25 mm/s、12.5 mm/s、6.25 mm/s。血氧饱和度波形速度支持25 mm/s、12.5 mm/s。</w:t>
      </w:r>
    </w:p>
    <w:p w14:paraId="375383B8">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通过心电电极片可监测的心律失常分析种类不少于27种</w:t>
      </w:r>
      <w:r>
        <w:rPr>
          <w:rFonts w:hint="eastAsia" w:ascii="仿宋" w:hAnsi="仿宋" w:eastAsia="仿宋" w:cs="仿宋"/>
          <w:kern w:val="0"/>
          <w:sz w:val="32"/>
          <w:szCs w:val="32"/>
          <w:lang w:eastAsia="zh-CN"/>
        </w:rPr>
        <w:t>。</w:t>
      </w:r>
    </w:p>
    <w:p w14:paraId="48C8E243">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支持ST和 QT实时分析。</w:t>
      </w:r>
    </w:p>
    <w:bookmarkEnd w:id="15"/>
    <w:p w14:paraId="0EF5A576">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标配监护功能：5导心电、血氧饱和度、无创血压、WIFI。</w:t>
      </w:r>
    </w:p>
    <w:p w14:paraId="114A41AE">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16" w:name="_Hlk172229079"/>
      <w:r>
        <w:rPr>
          <w:rFonts w:hint="eastAsia" w:ascii="仿宋" w:hAnsi="仿宋" w:eastAsia="仿宋" w:cs="仿宋"/>
          <w:kern w:val="0"/>
          <w:sz w:val="32"/>
          <w:szCs w:val="32"/>
        </w:rPr>
        <w:t>提供的监护参数适用于成人，小儿和新生儿，并通过国家三类注册</w:t>
      </w:r>
      <w:r>
        <w:rPr>
          <w:rFonts w:hint="eastAsia" w:ascii="仿宋" w:hAnsi="仿宋" w:eastAsia="仿宋" w:cs="仿宋"/>
          <w:kern w:val="0"/>
          <w:sz w:val="32"/>
          <w:szCs w:val="32"/>
          <w:lang w:eastAsia="zh-CN"/>
        </w:rPr>
        <w:t>。</w:t>
      </w:r>
    </w:p>
    <w:bookmarkEnd w:id="16"/>
    <w:p w14:paraId="2604D773">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17" w:name="OLE_LINK27"/>
      <w:bookmarkStart w:id="18" w:name="OLE_LINK26"/>
      <w:r>
        <w:rPr>
          <w:rFonts w:hint="eastAsia" w:ascii="仿宋" w:hAnsi="仿宋" w:eastAsia="仿宋" w:cs="仿宋"/>
          <w:kern w:val="0"/>
          <w:sz w:val="32"/>
          <w:szCs w:val="32"/>
        </w:rPr>
        <w:t>脉率范围：20-300bpm。</w:t>
      </w:r>
    </w:p>
    <w:p w14:paraId="3F0DA2FA">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无创血压收缩压测量范围：25-290mmHg（成人）、25-240mmHg（小儿）、25-140mmHg（新生儿），舒张压测量范围10-250mmHg（成人）、10-200mmHg（小儿），10-115mmHg（新生儿）</w:t>
      </w:r>
      <w:r>
        <w:rPr>
          <w:rFonts w:hint="eastAsia" w:ascii="仿宋" w:hAnsi="仿宋" w:eastAsia="仿宋" w:cs="仿宋"/>
          <w:kern w:val="0"/>
          <w:sz w:val="32"/>
          <w:szCs w:val="32"/>
          <w:lang w:eastAsia="zh-CN"/>
        </w:rPr>
        <w:t>。</w:t>
      </w:r>
    </w:p>
    <w:p w14:paraId="1607A971">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可根据病人类型自动切换除颤默认能量、CPR提示和参数报警限。</w:t>
      </w:r>
    </w:p>
    <w:bookmarkEnd w:id="17"/>
    <w:bookmarkEnd w:id="18"/>
    <w:p w14:paraId="2F752CC2">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支持连接中央站，与科室床旁监护仪共用监护网络。</w:t>
      </w:r>
    </w:p>
    <w:p w14:paraId="2871EB15">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支持通过中央站远程修改病人信息和系统时间同步</w:t>
      </w:r>
      <w:r>
        <w:rPr>
          <w:rFonts w:hint="eastAsia" w:ascii="仿宋" w:hAnsi="仿宋" w:eastAsia="仿宋" w:cs="仿宋"/>
          <w:sz w:val="32"/>
          <w:szCs w:val="32"/>
        </w:rPr>
        <w:t>。</w:t>
      </w:r>
    </w:p>
    <w:p w14:paraId="217395D1">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支持提供IHE HL7协议，满足院前院内急救系统的联网通信。</w:t>
      </w:r>
    </w:p>
    <w:p w14:paraId="0A62B49F">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19" w:name="_Hlk172233994"/>
      <w:r>
        <w:rPr>
          <w:rFonts w:hint="eastAsia" w:ascii="仿宋" w:hAnsi="仿宋" w:eastAsia="仿宋" w:cs="仿宋"/>
          <w:kern w:val="0"/>
          <w:sz w:val="32"/>
          <w:szCs w:val="32"/>
        </w:rPr>
        <w:t>标配1块外置智能锂电池，可支持200J除颤≥300</w:t>
      </w:r>
      <w:bookmarkStart w:id="20" w:name="_Hlk172227943"/>
      <w:r>
        <w:rPr>
          <w:rFonts w:hint="eastAsia" w:ascii="仿宋" w:hAnsi="仿宋" w:eastAsia="仿宋" w:cs="仿宋"/>
          <w:kern w:val="0"/>
          <w:sz w:val="32"/>
          <w:szCs w:val="32"/>
        </w:rPr>
        <w:t>次</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 xml:space="preserve"> </w:t>
      </w:r>
    </w:p>
    <w:bookmarkEnd w:id="19"/>
    <w:p w14:paraId="10997910">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无需开机或拆机即可查看电池电量；电池可徒手拆卸，无需拆机，便于维</w:t>
      </w:r>
      <w:bookmarkEnd w:id="20"/>
      <w:r>
        <w:rPr>
          <w:rFonts w:hint="eastAsia" w:ascii="仿宋" w:hAnsi="仿宋" w:eastAsia="仿宋" w:cs="仿宋"/>
          <w:kern w:val="0"/>
          <w:sz w:val="32"/>
          <w:szCs w:val="32"/>
        </w:rPr>
        <w:t>护</w:t>
      </w:r>
      <w:r>
        <w:rPr>
          <w:rFonts w:hint="eastAsia" w:ascii="仿宋" w:hAnsi="仿宋" w:eastAsia="仿宋" w:cs="仿宋"/>
          <w:kern w:val="0"/>
          <w:sz w:val="32"/>
          <w:szCs w:val="32"/>
          <w:lang w:eastAsia="zh-CN"/>
        </w:rPr>
        <w:t>。</w:t>
      </w:r>
    </w:p>
    <w:p w14:paraId="3B1FCDA9">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配置50mm记录纸记录仪，可同时打印不少于3通道波形；自动打印除颤记录，单次波形记录时间最大不小于30s；支持连续波形记录。</w:t>
      </w:r>
    </w:p>
    <w:p w14:paraId="127EB4CB">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21" w:name="_Hlk172229227"/>
      <w:r>
        <w:rPr>
          <w:rFonts w:hint="eastAsia" w:ascii="仿宋" w:hAnsi="仿宋" w:eastAsia="仿宋" w:cs="仿宋"/>
          <w:kern w:val="0"/>
          <w:sz w:val="32"/>
          <w:szCs w:val="32"/>
        </w:rPr>
        <w:t>可存储120小时连续ECG波形，数据可导出至电脑查看。</w:t>
      </w:r>
    </w:p>
    <w:bookmarkEnd w:id="21"/>
    <w:p w14:paraId="3F86F499">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关机状态下设备支持每天定时自动运行自检（含监护模块和治疗模块），支持定期自动大能量自检（最大放电能量）</w:t>
      </w:r>
    </w:p>
    <w:p w14:paraId="100EF35B">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支持设备状态指示灯用户检测。</w:t>
      </w:r>
    </w:p>
    <w:p w14:paraId="00CBAE99">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设备自检后支持对于自检报告进行自动打印或按需打印。</w:t>
      </w:r>
    </w:p>
    <w:p w14:paraId="33603680">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支持自检放电能量精度显示和打印。</w:t>
      </w:r>
    </w:p>
    <w:p w14:paraId="08B417FB">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22" w:name="_Hlk154064330"/>
      <w:r>
        <w:rPr>
          <w:rFonts w:hint="eastAsia" w:ascii="仿宋" w:hAnsi="仿宋" w:eastAsia="仿宋" w:cs="仿宋"/>
          <w:kern w:val="0"/>
          <w:sz w:val="32"/>
          <w:szCs w:val="32"/>
        </w:rPr>
        <w:t>可自动上传自检报告，并支持在设备管理系统或中央站集中查看除颤设备状态</w:t>
      </w:r>
      <w:bookmarkEnd w:id="22"/>
      <w:r>
        <w:rPr>
          <w:rFonts w:hint="eastAsia" w:ascii="仿宋" w:hAnsi="仿宋" w:eastAsia="仿宋" w:cs="仿宋"/>
          <w:kern w:val="0"/>
          <w:sz w:val="32"/>
          <w:szCs w:val="32"/>
          <w:lang w:eastAsia="zh-CN"/>
        </w:rPr>
        <w:t>。</w:t>
      </w:r>
    </w:p>
    <w:p w14:paraId="0EAF66B4">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bookmarkStart w:id="23" w:name="_Hlk172229270"/>
      <w:r>
        <w:rPr>
          <w:rFonts w:hint="eastAsia" w:ascii="仿宋" w:hAnsi="仿宋" w:eastAsia="仿宋" w:cs="仿宋"/>
          <w:kern w:val="0"/>
          <w:sz w:val="32"/>
          <w:szCs w:val="32"/>
        </w:rPr>
        <w:t>具备良好的防尘防水性能，防尘防水级别IP55</w:t>
      </w:r>
      <w:r>
        <w:rPr>
          <w:rFonts w:hint="eastAsia" w:ascii="仿宋" w:hAnsi="仿宋" w:eastAsia="仿宋" w:cs="仿宋"/>
          <w:kern w:val="0"/>
          <w:sz w:val="32"/>
          <w:szCs w:val="32"/>
          <w:lang w:val="en-US" w:eastAsia="zh-CN"/>
        </w:rPr>
        <w:t>或以上。</w:t>
      </w:r>
    </w:p>
    <w:bookmarkEnd w:id="23"/>
    <w:p w14:paraId="27D8FE83">
      <w:pPr>
        <w:keepNext w:val="0"/>
        <w:keepLines w:val="0"/>
        <w:pageBreakBefore w:val="0"/>
        <w:widowControl/>
        <w:numPr>
          <w:ilvl w:val="0"/>
          <w:numId w:val="3"/>
        </w:numPr>
        <w:kinsoku/>
        <w:wordWrap/>
        <w:overflowPunct/>
        <w:topLinePunct w:val="0"/>
        <w:autoSpaceDE/>
        <w:autoSpaceDN/>
        <w:bidi w:val="0"/>
        <w:adjustRightInd/>
        <w:snapToGrid/>
        <w:spacing w:line="560" w:lineRule="exact"/>
        <w:ind w:left="703" w:hanging="42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具备优异的抗跌落性能，可承受≥0.75米跌落冲击。</w:t>
      </w:r>
    </w:p>
    <w:p w14:paraId="797EA76F">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lang w:val="en-US" w:eastAsia="zh-CN"/>
        </w:rPr>
      </w:pPr>
    </w:p>
    <w:p w14:paraId="6BFFA4BA">
      <w:pPr>
        <w:keepNext w:val="0"/>
        <w:keepLines w:val="0"/>
        <w:pageBreakBefore w:val="0"/>
        <w:kinsoku/>
        <w:wordWrap/>
        <w:overflowPunct/>
        <w:topLinePunct w:val="0"/>
        <w:autoSpaceDE/>
        <w:autoSpaceDN/>
        <w:bidi w:val="0"/>
        <w:adjustRightInd/>
        <w:snapToGrid/>
        <w:spacing w:line="560" w:lineRule="exact"/>
        <w:textAlignment w:val="auto"/>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9CF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2592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12592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BCB3">
    <w:pPr>
      <w:pStyle w:val="7"/>
    </w:pPr>
    <w:r>
      <w:rPr>
        <w:rFonts w:hint="eastAsia" w:eastAsia="宋体"/>
        <w:lang w:eastAsia="zh-CN"/>
      </w:rPr>
      <w:drawing>
        <wp:inline distT="0" distB="0" distL="114300" distR="114300">
          <wp:extent cx="3762375" cy="845820"/>
          <wp:effectExtent l="0" t="0" r="0" b="0"/>
          <wp:docPr id="1" name="图片 1" descr="e074a456bc92fef944acdaf3e87d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074a456bc92fef944acdaf3e87d4ef"/>
                  <pic:cNvPicPr>
                    <a:picLocks noChangeAspect="1"/>
                  </pic:cNvPicPr>
                </pic:nvPicPr>
                <pic:blipFill>
                  <a:blip r:embed="rId1"/>
                  <a:stretch>
                    <a:fillRect/>
                  </a:stretch>
                </pic:blipFill>
                <pic:spPr>
                  <a:xfrm>
                    <a:off x="0" y="0"/>
                    <a:ext cx="3762375"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1B6BA0"/>
    <w:multiLevelType w:val="multilevel"/>
    <w:tmpl w:val="2F1B6BA0"/>
    <w:lvl w:ilvl="0" w:tentative="0">
      <w:start w:val="1"/>
      <w:numFmt w:val="decimal"/>
      <w:lvlText w:val="%1."/>
      <w:lvlJc w:val="left"/>
      <w:pPr>
        <w:tabs>
          <w:tab w:val="left" w:pos="703"/>
        </w:tabs>
        <w:ind w:left="703" w:hanging="420"/>
      </w:pPr>
      <w:rPr>
        <w:color w:val="auto"/>
      </w:rPr>
    </w:lvl>
    <w:lvl w:ilvl="1" w:tentative="0">
      <w:start w:val="1"/>
      <w:numFmt w:val="lowerLetter"/>
      <w:lvlText w:val="%2)"/>
      <w:lvlJc w:val="left"/>
      <w:pPr>
        <w:tabs>
          <w:tab w:val="left" w:pos="1198"/>
        </w:tabs>
        <w:ind w:left="1198" w:hanging="420"/>
      </w:pPr>
    </w:lvl>
    <w:lvl w:ilvl="2" w:tentative="0">
      <w:start w:val="1"/>
      <w:numFmt w:val="lowerRoman"/>
      <w:lvlText w:val="%3."/>
      <w:lvlJc w:val="right"/>
      <w:pPr>
        <w:tabs>
          <w:tab w:val="left" w:pos="1618"/>
        </w:tabs>
        <w:ind w:left="1618" w:hanging="420"/>
      </w:pPr>
    </w:lvl>
    <w:lvl w:ilvl="3" w:tentative="0">
      <w:start w:val="1"/>
      <w:numFmt w:val="decimal"/>
      <w:lvlText w:val="%4."/>
      <w:lvlJc w:val="left"/>
      <w:pPr>
        <w:tabs>
          <w:tab w:val="left" w:pos="2038"/>
        </w:tabs>
        <w:ind w:left="2038" w:hanging="420"/>
      </w:pPr>
    </w:lvl>
    <w:lvl w:ilvl="4" w:tentative="0">
      <w:start w:val="1"/>
      <w:numFmt w:val="lowerLetter"/>
      <w:lvlText w:val="%5)"/>
      <w:lvlJc w:val="left"/>
      <w:pPr>
        <w:tabs>
          <w:tab w:val="left" w:pos="2458"/>
        </w:tabs>
        <w:ind w:left="2458" w:hanging="420"/>
      </w:pPr>
    </w:lvl>
    <w:lvl w:ilvl="5" w:tentative="0">
      <w:start w:val="1"/>
      <w:numFmt w:val="lowerRoman"/>
      <w:lvlText w:val="%6."/>
      <w:lvlJc w:val="right"/>
      <w:pPr>
        <w:tabs>
          <w:tab w:val="left" w:pos="2878"/>
        </w:tabs>
        <w:ind w:left="2878" w:hanging="420"/>
      </w:pPr>
    </w:lvl>
    <w:lvl w:ilvl="6" w:tentative="0">
      <w:start w:val="1"/>
      <w:numFmt w:val="decimal"/>
      <w:lvlText w:val="%7."/>
      <w:lvlJc w:val="left"/>
      <w:pPr>
        <w:tabs>
          <w:tab w:val="left" w:pos="3298"/>
        </w:tabs>
        <w:ind w:left="3298" w:hanging="420"/>
      </w:pPr>
    </w:lvl>
    <w:lvl w:ilvl="7" w:tentative="0">
      <w:start w:val="1"/>
      <w:numFmt w:val="lowerLetter"/>
      <w:lvlText w:val="%8)"/>
      <w:lvlJc w:val="left"/>
      <w:pPr>
        <w:tabs>
          <w:tab w:val="left" w:pos="3718"/>
        </w:tabs>
        <w:ind w:left="3718" w:hanging="420"/>
      </w:pPr>
    </w:lvl>
    <w:lvl w:ilvl="8" w:tentative="0">
      <w:start w:val="1"/>
      <w:numFmt w:val="lowerRoman"/>
      <w:lvlText w:val="%9."/>
      <w:lvlJc w:val="right"/>
      <w:pPr>
        <w:tabs>
          <w:tab w:val="left" w:pos="4138"/>
        </w:tabs>
        <w:ind w:left="4138" w:hanging="420"/>
      </w:pPr>
    </w:lvl>
  </w:abstractNum>
  <w:abstractNum w:abstractNumId="1">
    <w:nsid w:val="48800F0F"/>
    <w:multiLevelType w:val="multilevel"/>
    <w:tmpl w:val="48800F0F"/>
    <w:lvl w:ilvl="0" w:tentative="0">
      <w:start w:val="1"/>
      <w:numFmt w:val="decimal"/>
      <w:lvlText w:val="%1."/>
      <w:lvlJc w:val="left"/>
      <w:pPr>
        <w:tabs>
          <w:tab w:val="left" w:pos="425"/>
        </w:tabs>
        <w:ind w:left="425" w:hanging="425"/>
      </w:pPr>
      <w:rPr>
        <w:rFonts w:hint="eastAsia" w:cs="Times New Roman"/>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pStyle w:val="14"/>
      <w:lvlText w:val="%1.%2.%3.%4"/>
      <w:lvlJc w:val="left"/>
      <w:pPr>
        <w:tabs>
          <w:tab w:val="left" w:pos="2328"/>
        </w:tabs>
        <w:ind w:left="2328"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2">
    <w:nsid w:val="64253DA1"/>
    <w:multiLevelType w:val="multilevel"/>
    <w:tmpl w:val="64253DA1"/>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C60363"/>
    <w:rsid w:val="0E172295"/>
    <w:rsid w:val="10684C74"/>
    <w:rsid w:val="1AF71419"/>
    <w:rsid w:val="23BB03CC"/>
    <w:rsid w:val="26461951"/>
    <w:rsid w:val="3C257053"/>
    <w:rsid w:val="3D3E3679"/>
    <w:rsid w:val="3E464907"/>
    <w:rsid w:val="440B64A5"/>
    <w:rsid w:val="45B732AD"/>
    <w:rsid w:val="4AC271B5"/>
    <w:rsid w:val="4E850579"/>
    <w:rsid w:val="57827773"/>
    <w:rsid w:val="5B543CB6"/>
    <w:rsid w:val="601C29FC"/>
    <w:rsid w:val="66990186"/>
    <w:rsid w:val="67117FE8"/>
    <w:rsid w:val="6A7A4C56"/>
    <w:rsid w:val="6AB6527A"/>
    <w:rsid w:val="6B7607EA"/>
    <w:rsid w:val="758D28A5"/>
    <w:rsid w:val="77D64FE9"/>
    <w:rsid w:val="7C865339"/>
    <w:rsid w:val="7E1F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w:basedOn w:val="1"/>
    <w:qFormat/>
    <w:uiPriority w:val="99"/>
    <w:pPr>
      <w:spacing w:after="120"/>
    </w:pPr>
    <w:rPr>
      <w:kern w:val="0"/>
      <w:szCs w:val="20"/>
    </w:rPr>
  </w:style>
  <w:style w:type="paragraph" w:styleId="4">
    <w:name w:val="Body Text Indent"/>
    <w:basedOn w:val="1"/>
    <w:qFormat/>
    <w:uiPriority w:val="0"/>
    <w:pPr>
      <w:spacing w:after="120" w:afterLines="0" w:afterAutospacing="0"/>
      <w:ind w:left="420" w:leftChars="200"/>
    </w:pPr>
  </w:style>
  <w:style w:type="paragraph" w:styleId="5">
    <w:name w:val="Plain Text"/>
    <w:basedOn w:val="1"/>
    <w:qFormat/>
    <w:uiPriority w:val="99"/>
    <w:rPr>
      <w:rFonts w:ascii="宋体" w:hAnsi="Courier New"/>
      <w:kern w:val="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semiHidden/>
    <w:qFormat/>
    <w:uiPriority w:val="99"/>
    <w:pPr>
      <w:spacing w:before="120" w:after="120"/>
      <w:jc w:val="left"/>
    </w:pPr>
    <w:rPr>
      <w:rFonts w:ascii="Calibri" w:hAnsi="Calibri" w:cs="Calibri"/>
      <w:b/>
      <w:bCs/>
      <w:caps/>
    </w:rPr>
  </w:style>
  <w:style w:type="paragraph" w:styleId="9">
    <w:name w:val="Body Text First Indent 2"/>
    <w:basedOn w:val="4"/>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99"/>
    <w:rPr>
      <w:rFonts w:eastAsia="宋体" w:cs="Times New Roman"/>
      <w:color w:val="0000FF"/>
      <w:sz w:val="28"/>
      <w:u w:val="single"/>
    </w:rPr>
  </w:style>
  <w:style w:type="paragraph" w:customStyle="1" w:styleId="14">
    <w:name w:val="样式4"/>
    <w:basedOn w:val="1"/>
    <w:qFormat/>
    <w:uiPriority w:val="99"/>
    <w:pPr>
      <w:numPr>
        <w:ilvl w:val="3"/>
        <w:numId w:val="1"/>
      </w:numPr>
    </w:pPr>
  </w:style>
  <w:style w:type="paragraph" w:customStyle="1" w:styleId="15">
    <w:name w:val="列出段落1"/>
    <w:basedOn w:val="1"/>
    <w:qFormat/>
    <w:uiPriority w:val="34"/>
    <w:pPr>
      <w:ind w:firstLine="420" w:firstLineChars="200"/>
    </w:p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3190</Words>
  <Characters>3564</Characters>
  <Lines>0</Lines>
  <Paragraphs>0</Paragraphs>
  <TotalTime>2</TotalTime>
  <ScaleCrop>false</ScaleCrop>
  <LinksUpToDate>false</LinksUpToDate>
  <CharactersWithSpaces>3709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2026-08-10T01:41:00Z</dcterms:created>
  <dc:creator>Administrator</dc:creator>
  <cp:lastModifiedBy>Ulalalalalala</cp:lastModifiedBy>
  <cp:lastPrinted>2026-09-01T03:11:00Z</cp:lastPrinted>
  <dcterms:modified xsi:type="dcterms:W3CDTF">2026-09-04T08:38:18Z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eyJoZGlkIjoiNzMwNjM4Nzc0NWIxY2NiMzY1NjI1ZTQ5NTI2MTE5ZDUiLCJ1c2VySWQiOiIxMjcwNTMxNjIwIn0=</vt:lpwstr>
  </property>
  <property fmtid="{D5CDD505-2E9C-101B-9397-08002B2CF9AE}" pid="4" name="ICV">
    <vt:lpwstr>565C693114EC4A2DA5CBB5F8C101CD57_13</vt:lpwstr>
  </property>
</Properties>
</file>