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B701E">
      <w:pPr>
        <w:jc w:val="center"/>
        <w:rPr>
          <w:rFonts w:hint="eastAsia" w:ascii="宋体" w:hAnsi="宋体" w:eastAsia="宋体" w:cs="宋体"/>
          <w:b/>
          <w:color w:val="000000"/>
          <w:sz w:val="84"/>
          <w:szCs w:val="84"/>
        </w:rPr>
      </w:pPr>
      <w:bookmarkStart w:id="9" w:name="_GoBack"/>
      <w:bookmarkEnd w:id="9"/>
      <w:r>
        <w:rPr>
          <w:rFonts w:hint="eastAsia" w:ascii="宋体" w:hAnsi="宋体" w:eastAsia="宋体" w:cs="宋体"/>
          <w:b/>
          <w:color w:val="000000"/>
          <w:sz w:val="84"/>
          <w:szCs w:val="84"/>
        </w:rPr>
        <w:t>怀化市第五人民医院</w:t>
      </w:r>
    </w:p>
    <w:p w14:paraId="40F4304F">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2AEF0BE4">
      <w:pPr>
        <w:pStyle w:val="2"/>
        <w:ind w:firstLine="452" w:firstLineChars="150"/>
        <w:jc w:val="center"/>
        <w:rPr>
          <w:rFonts w:ascii="仿宋" w:hAnsi="仿宋" w:eastAsia="仿宋" w:cs="仿宋"/>
          <w:b/>
          <w:sz w:val="30"/>
          <w:szCs w:val="30"/>
        </w:rPr>
      </w:pPr>
    </w:p>
    <w:p w14:paraId="32BEA6A5">
      <w:pPr>
        <w:pStyle w:val="2"/>
        <w:ind w:firstLine="452" w:firstLineChars="150"/>
        <w:jc w:val="center"/>
        <w:rPr>
          <w:rFonts w:ascii="仿宋" w:hAnsi="仿宋" w:eastAsia="仿宋" w:cs="仿宋"/>
          <w:b/>
          <w:sz w:val="30"/>
          <w:szCs w:val="30"/>
        </w:rPr>
      </w:pPr>
    </w:p>
    <w:p w14:paraId="236FC0E9">
      <w:pPr>
        <w:pStyle w:val="2"/>
        <w:ind w:firstLine="452" w:firstLineChars="150"/>
        <w:jc w:val="center"/>
        <w:rPr>
          <w:rFonts w:ascii="仿宋" w:hAnsi="仿宋" w:eastAsia="仿宋" w:cs="仿宋"/>
          <w:b/>
          <w:sz w:val="30"/>
          <w:szCs w:val="30"/>
        </w:rPr>
      </w:pPr>
    </w:p>
    <w:p w14:paraId="4D90FF83">
      <w:pPr>
        <w:pStyle w:val="2"/>
        <w:ind w:firstLine="452" w:firstLineChars="150"/>
        <w:jc w:val="center"/>
        <w:rPr>
          <w:rFonts w:ascii="仿宋" w:hAnsi="仿宋" w:eastAsia="仿宋" w:cs="仿宋"/>
          <w:b/>
          <w:sz w:val="30"/>
          <w:szCs w:val="30"/>
        </w:rPr>
      </w:pPr>
    </w:p>
    <w:p w14:paraId="59BAFC7C">
      <w:pPr>
        <w:pStyle w:val="2"/>
        <w:ind w:firstLine="452" w:firstLineChars="150"/>
        <w:jc w:val="center"/>
        <w:rPr>
          <w:rFonts w:ascii="仿宋" w:hAnsi="仿宋" w:eastAsia="仿宋" w:cs="仿宋"/>
          <w:b/>
          <w:bCs w:val="0"/>
          <w:sz w:val="30"/>
          <w:szCs w:val="30"/>
        </w:rPr>
      </w:pPr>
    </w:p>
    <w:p w14:paraId="1049646C">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000000"/>
          <w:kern w:val="0"/>
          <w:sz w:val="30"/>
          <w:szCs w:val="30"/>
          <w:lang w:val="en-US" w:eastAsia="zh-CN"/>
        </w:rPr>
      </w:pPr>
      <w:r>
        <w:rPr>
          <w:rFonts w:hint="eastAsia" w:ascii="仿宋" w:hAnsi="仿宋" w:eastAsia="仿宋" w:cs="仿宋"/>
          <w:b/>
          <w:bCs w:val="0"/>
          <w:sz w:val="32"/>
          <w:szCs w:val="32"/>
        </w:rPr>
        <w:t>采购项目名称：</w:t>
      </w:r>
      <w:r>
        <w:rPr>
          <w:rFonts w:hint="eastAsia" w:ascii="仿宋" w:hAnsi="仿宋" w:eastAsia="仿宋" w:cs="仿宋"/>
          <w:b/>
          <w:bCs w:val="0"/>
          <w:color w:val="000000"/>
          <w:kern w:val="0"/>
          <w:sz w:val="30"/>
          <w:szCs w:val="30"/>
          <w:lang w:val="en-US" w:eastAsia="zh-CN"/>
        </w:rPr>
        <w:t>怀化市第五人民医院</w:t>
      </w:r>
      <w:r>
        <w:rPr>
          <w:rFonts w:hint="eastAsia" w:ascii="仿宋" w:hAnsi="仿宋" w:eastAsia="仿宋" w:cs="仿宋"/>
          <w:b/>
          <w:bCs w:val="0"/>
          <w:sz w:val="32"/>
          <w:szCs w:val="32"/>
          <w:lang w:val="en-US" w:eastAsia="zh-CN"/>
        </w:rPr>
        <w:t>康复设备采购</w:t>
      </w:r>
    </w:p>
    <w:p w14:paraId="310445BB">
      <w:pPr>
        <w:pStyle w:val="5"/>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54979A1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7365FDF2">
      <w:pPr>
        <w:pStyle w:val="5"/>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180B2E0C">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2026012</w:t>
      </w:r>
    </w:p>
    <w:p w14:paraId="27281E71">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21EAC2">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0FC06CE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14C8F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53B5812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p>
    <w:p w14:paraId="6DF7F665">
      <w:pPr>
        <w:tabs>
          <w:tab w:val="left" w:pos="709"/>
        </w:tabs>
        <w:spacing w:line="360" w:lineRule="auto"/>
        <w:ind w:left="700"/>
        <w:jc w:val="center"/>
        <w:rPr>
          <w:rFonts w:hint="eastAsia" w:ascii="宋体" w:hAnsi="宋体" w:eastAsia="宋体" w:cs="宋体"/>
          <w:b/>
          <w:bCs/>
          <w:sz w:val="44"/>
          <w:szCs w:val="44"/>
        </w:rPr>
      </w:pPr>
    </w:p>
    <w:p w14:paraId="66B32337">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4F84216D">
      <w:pPr>
        <w:pStyle w:val="8"/>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3"/>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3C7037E0">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"_Toc32084"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5764AFA8">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"_Toc3942"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6</w:t>
      </w:r>
    </w:p>
    <w:p w14:paraId="5739AA0D">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第三章  评价体系与标准</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8</w:t>
      </w:r>
    </w:p>
    <w:p w14:paraId="6D21D1FC">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default" w:ascii="仿宋" w:hAnsi="仿宋" w:eastAsia="仿宋" w:cs="仿宋"/>
          <w:sz w:val="30"/>
          <w:szCs w:val="30"/>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第四章  技术参数说明</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10</w:t>
      </w:r>
    </w:p>
    <w:p w14:paraId="6ADED4B5">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78B64B49">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r>
        <w:rPr>
          <w:rFonts w:hint="eastAsia" w:ascii="仿宋" w:hAnsi="仿宋" w:eastAsia="仿宋" w:cs="仿宋"/>
          <w:b/>
          <w:bCs/>
          <w:sz w:val="30"/>
          <w:szCs w:val="30"/>
        </w:rPr>
        <w:fldChar w:fldCharType="end"/>
      </w:r>
      <w:bookmarkStart w:id="0" w:name="_Toc435514842"/>
    </w:p>
    <w:p w14:paraId="5964B3D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EA0738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5A9732E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255CD4A">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25B6BD47">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1A86CF77">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32F37D0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392FA345">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4E06BF6C">
      <w:pPr>
        <w:keepNext w:val="0"/>
        <w:keepLines w:val="0"/>
        <w:pageBreakBefore w:val="0"/>
        <w:widowControl w:val="0"/>
        <w:kinsoku/>
        <w:wordWrap/>
        <w:overflowPunct/>
        <w:topLinePunct w:val="0"/>
        <w:bidi w:val="0"/>
        <w:spacing w:line="560" w:lineRule="exact"/>
        <w:ind w:left="0" w:right="0"/>
        <w:jc w:val="center"/>
        <w:textAlignment w:val="auto"/>
        <w:rPr>
          <w:rFonts w:ascii="仿宋" w:hAnsi="仿宋" w:eastAsia="仿宋" w:cs="仿宋"/>
          <w:b/>
          <w:bCs/>
          <w:sz w:val="30"/>
          <w:szCs w:val="30"/>
          <w:u w:val="single"/>
        </w:rPr>
      </w:pPr>
    </w:p>
    <w:p w14:paraId="062D7296">
      <w:pPr>
        <w:pStyle w:val="3"/>
        <w:keepNext w:val="0"/>
        <w:keepLines w:val="0"/>
        <w:pageBreakBefore w:val="0"/>
        <w:widowControl w:val="0"/>
        <w:kinsoku/>
        <w:wordWrap/>
        <w:overflowPunct/>
        <w:topLinePunct w:val="0"/>
        <w:bidi w:val="0"/>
        <w:spacing w:line="560" w:lineRule="exact"/>
        <w:ind w:left="0" w:right="0"/>
        <w:textAlignment w:val="auto"/>
        <w:rPr>
          <w:rFonts w:ascii="仿宋" w:hAnsi="仿宋" w:eastAsia="仿宋" w:cs="仿宋"/>
          <w:b/>
          <w:bCs/>
          <w:sz w:val="30"/>
          <w:szCs w:val="30"/>
          <w:u w:val="single"/>
        </w:rPr>
      </w:pPr>
    </w:p>
    <w:bookmarkEnd w:id="0"/>
    <w:p w14:paraId="33C34E3A">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bookmarkStart w:id="1" w:name="_Toc435115052"/>
      <w:bookmarkStart w:id="2" w:name="_Toc435514843"/>
      <w:bookmarkStart w:id="3" w:name="_Toc3942"/>
    </w:p>
    <w:p w14:paraId="6DE0FFC4">
      <w:pPr>
        <w:keepNext w:val="0"/>
        <w:keepLines w:val="0"/>
        <w:pageBreakBefore w:val="0"/>
        <w:widowControl w:val="0"/>
        <w:kinsoku/>
        <w:wordWrap/>
        <w:overflowPunct/>
        <w:topLinePunct w:val="0"/>
        <w:bidi w:val="0"/>
        <w:adjustRightInd w:val="0"/>
        <w:snapToGrid w:val="0"/>
        <w:spacing w:line="560" w:lineRule="exact"/>
        <w:ind w:left="0" w:right="0"/>
        <w:jc w:val="center"/>
        <w:textAlignment w:val="auto"/>
        <w:rPr>
          <w:rFonts w:hint="eastAsia" w:ascii="仿宋" w:hAnsi="仿宋" w:eastAsia="仿宋" w:cs="仿宋"/>
          <w:b/>
          <w:bCs/>
          <w:sz w:val="32"/>
          <w:szCs w:val="32"/>
        </w:rPr>
      </w:pPr>
    </w:p>
    <w:p w14:paraId="3BAE5BB5">
      <w:pPr>
        <w:adjustRightInd w:val="0"/>
        <w:snapToGrid w:val="0"/>
        <w:spacing w:line="360" w:lineRule="exact"/>
        <w:ind w:firstLine="600" w:firstLineChars="200"/>
        <w:rPr>
          <w:rFonts w:hint="eastAsia" w:ascii="仿宋" w:hAnsi="仿宋" w:eastAsia="仿宋" w:cs="仿宋"/>
          <w:color w:val="000000"/>
          <w:sz w:val="30"/>
          <w:szCs w:val="30"/>
        </w:rPr>
      </w:pPr>
    </w:p>
    <w:p w14:paraId="0C3F1716">
      <w:pPr>
        <w:adjustRightInd w:val="0"/>
        <w:snapToGrid w:val="0"/>
        <w:spacing w:line="240" w:lineRule="atLeast"/>
        <w:jc w:val="center"/>
        <w:rPr>
          <w:rFonts w:hint="eastAsia" w:ascii="宋体" w:hAnsi="宋体" w:eastAsia="宋体" w:cs="宋体"/>
          <w:b/>
          <w:bCs/>
          <w:color w:val="000000"/>
          <w:sz w:val="44"/>
          <w:szCs w:val="44"/>
        </w:rPr>
      </w:pPr>
      <w:r>
        <w:rPr>
          <w:rFonts w:hint="eastAsia" w:ascii="宋体" w:hAnsi="宋体" w:eastAsia="宋体" w:cs="宋体"/>
          <w:b/>
          <w:bCs/>
          <w:sz w:val="44"/>
          <w:szCs w:val="44"/>
        </w:rPr>
        <w:t>第一章</w:t>
      </w: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36746FD0">
      <w:pPr>
        <w:adjustRightInd w:val="0"/>
        <w:snapToGrid w:val="0"/>
        <w:spacing w:line="360" w:lineRule="exact"/>
        <w:ind w:firstLine="480" w:firstLineChars="200"/>
        <w:rPr>
          <w:rFonts w:hint="eastAsia" w:ascii="仿宋" w:hAnsi="仿宋" w:eastAsia="仿宋" w:cs="仿宋"/>
          <w:color w:val="000000"/>
          <w:sz w:val="24"/>
          <w:szCs w:val="24"/>
        </w:rPr>
      </w:pPr>
    </w:p>
    <w:p w14:paraId="7D8FC9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根据临床需要，对下列采购项目进行</w:t>
      </w:r>
      <w:r>
        <w:rPr>
          <w:rFonts w:hint="eastAsia" w:ascii="仿宋" w:hAnsi="仿宋" w:eastAsia="仿宋" w:cs="仿宋"/>
          <w:b/>
          <w:bCs/>
          <w:color w:val="000000"/>
          <w:sz w:val="32"/>
          <w:szCs w:val="32"/>
        </w:rPr>
        <w:t>院内公开招标采购</w:t>
      </w:r>
      <w:r>
        <w:rPr>
          <w:rFonts w:hint="eastAsia" w:ascii="仿宋" w:hAnsi="仿宋" w:eastAsia="仿宋" w:cs="仿宋"/>
          <w:color w:val="000000"/>
          <w:sz w:val="32"/>
          <w:szCs w:val="32"/>
        </w:rPr>
        <w:t>，欢迎符合资质的经销商、厂商投标。</w:t>
      </w:r>
    </w:p>
    <w:p w14:paraId="743979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color w:val="000000"/>
          <w:sz w:val="32"/>
          <w:szCs w:val="32"/>
        </w:rPr>
        <w:t>一、项目概况</w:t>
      </w:r>
    </w:p>
    <w:p w14:paraId="0811BE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项目名称：怀化市第五人民医院康复设备采购</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4120"/>
        <w:gridCol w:w="1170"/>
        <w:gridCol w:w="1365"/>
        <w:gridCol w:w="1540"/>
      </w:tblGrid>
      <w:tr w14:paraId="1D82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864" w:type="dxa"/>
            <w:vAlign w:val="center"/>
          </w:tcPr>
          <w:p w14:paraId="64368DF2">
            <w:pPr>
              <w:pStyle w:val="9"/>
              <w:ind w:left="0" w:leftChars="0" w:firstLine="0" w:firstLineChars="0"/>
              <w:jc w:val="cente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序号</w:t>
            </w:r>
          </w:p>
        </w:tc>
        <w:tc>
          <w:tcPr>
            <w:tcW w:w="4120" w:type="dxa"/>
            <w:vAlign w:val="center"/>
          </w:tcPr>
          <w:p w14:paraId="7334B205">
            <w:pPr>
              <w:pStyle w:val="9"/>
              <w:ind w:left="0" w:leftChars="0" w:firstLine="0" w:firstLineChars="0"/>
              <w:jc w:val="cente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设备名称</w:t>
            </w:r>
          </w:p>
        </w:tc>
        <w:tc>
          <w:tcPr>
            <w:tcW w:w="1170" w:type="dxa"/>
            <w:vAlign w:val="center"/>
          </w:tcPr>
          <w:p w14:paraId="54F49EDA">
            <w:pPr>
              <w:pStyle w:val="9"/>
              <w:ind w:left="0" w:leftChars="0" w:firstLine="0" w:firstLineChars="0"/>
              <w:jc w:val="cente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单位</w:t>
            </w:r>
          </w:p>
        </w:tc>
        <w:tc>
          <w:tcPr>
            <w:tcW w:w="1365" w:type="dxa"/>
            <w:vAlign w:val="center"/>
          </w:tcPr>
          <w:p w14:paraId="0995AD98">
            <w:pPr>
              <w:pStyle w:val="9"/>
              <w:ind w:left="0" w:leftChars="0" w:firstLine="0" w:firstLineChars="0"/>
              <w:jc w:val="cente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数量</w:t>
            </w:r>
          </w:p>
        </w:tc>
        <w:tc>
          <w:tcPr>
            <w:tcW w:w="1540" w:type="dxa"/>
            <w:vAlign w:val="center"/>
          </w:tcPr>
          <w:p w14:paraId="274FE8C3">
            <w:pPr>
              <w:pStyle w:val="9"/>
              <w:ind w:left="0" w:leftChars="0" w:firstLine="0" w:firstLineChars="0"/>
              <w:jc w:val="center"/>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采购预算</w:t>
            </w:r>
          </w:p>
        </w:tc>
      </w:tr>
      <w:tr w14:paraId="015F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64" w:type="dxa"/>
            <w:vAlign w:val="center"/>
          </w:tcPr>
          <w:p w14:paraId="5E80CA28">
            <w:pPr>
              <w:pStyle w:val="9"/>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4120" w:type="dxa"/>
            <w:shd w:val="clear" w:color="auto" w:fill="auto"/>
            <w:vAlign w:val="center"/>
          </w:tcPr>
          <w:p w14:paraId="6A7DA6B5">
            <w:pPr>
              <w:spacing w:line="560" w:lineRule="exact"/>
              <w:jc w:val="both"/>
              <w:rPr>
                <w:rFonts w:hint="eastAsia" w:ascii="仿宋" w:hAnsi="仿宋" w:eastAsia="仿宋" w:cs="仿宋"/>
                <w:kern w:val="0"/>
                <w:sz w:val="32"/>
                <w:szCs w:val="32"/>
                <w:lang w:val="en-US" w:eastAsia="zh-CN" w:bidi="ar-SA"/>
              </w:rPr>
            </w:pPr>
            <w:r>
              <w:rPr>
                <w:rFonts w:hint="eastAsia" w:ascii="仿宋" w:hAnsi="仿宋" w:eastAsia="仿宋" w:cs="仿宋"/>
                <w:color w:val="000000"/>
                <w:kern w:val="0"/>
                <w:sz w:val="32"/>
                <w:szCs w:val="32"/>
                <w:lang w:val="en-US" w:eastAsia="zh-CN"/>
              </w:rPr>
              <w:t>电动起立床</w:t>
            </w:r>
          </w:p>
        </w:tc>
        <w:tc>
          <w:tcPr>
            <w:tcW w:w="1170" w:type="dxa"/>
            <w:shd w:val="clear" w:color="auto" w:fill="auto"/>
            <w:vAlign w:val="center"/>
          </w:tcPr>
          <w:p w14:paraId="3653D113">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eastAsia="zh-CN"/>
              </w:rPr>
              <w:t>张</w:t>
            </w:r>
          </w:p>
        </w:tc>
        <w:tc>
          <w:tcPr>
            <w:tcW w:w="1365" w:type="dxa"/>
            <w:shd w:val="clear" w:color="auto" w:fill="auto"/>
            <w:vAlign w:val="center"/>
          </w:tcPr>
          <w:p w14:paraId="2DA32D29">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w:t>
            </w:r>
          </w:p>
        </w:tc>
        <w:tc>
          <w:tcPr>
            <w:tcW w:w="1540" w:type="dxa"/>
            <w:vMerge w:val="restart"/>
            <w:shd w:val="clear" w:color="auto" w:fill="auto"/>
            <w:vAlign w:val="center"/>
          </w:tcPr>
          <w:p w14:paraId="56F844E4">
            <w:pPr>
              <w:spacing w:line="560" w:lineRule="exact"/>
              <w:jc w:val="center"/>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16.6万元/批</w:t>
            </w:r>
          </w:p>
        </w:tc>
      </w:tr>
      <w:tr w14:paraId="0BE0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7752AF94">
            <w:pPr>
              <w:pStyle w:val="9"/>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4120" w:type="dxa"/>
            <w:shd w:val="clear" w:color="auto" w:fill="auto"/>
            <w:vAlign w:val="center"/>
          </w:tcPr>
          <w:p w14:paraId="13F98BA2">
            <w:pPr>
              <w:spacing w:line="560" w:lineRule="exact"/>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rPr>
              <w:t>电脑中频治疗仪</w:t>
            </w:r>
          </w:p>
        </w:tc>
        <w:tc>
          <w:tcPr>
            <w:tcW w:w="1170" w:type="dxa"/>
            <w:shd w:val="clear" w:color="auto" w:fill="auto"/>
            <w:vAlign w:val="center"/>
          </w:tcPr>
          <w:p w14:paraId="2E45A597">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台</w:t>
            </w:r>
          </w:p>
        </w:tc>
        <w:tc>
          <w:tcPr>
            <w:tcW w:w="1365" w:type="dxa"/>
            <w:shd w:val="clear" w:color="auto" w:fill="auto"/>
            <w:vAlign w:val="center"/>
          </w:tcPr>
          <w:p w14:paraId="4F9C81D4">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w:t>
            </w:r>
          </w:p>
        </w:tc>
        <w:tc>
          <w:tcPr>
            <w:tcW w:w="1540" w:type="dxa"/>
            <w:vMerge w:val="continue"/>
            <w:shd w:val="clear" w:color="auto" w:fill="auto"/>
            <w:vAlign w:val="center"/>
          </w:tcPr>
          <w:p w14:paraId="51E53841">
            <w:pPr>
              <w:spacing w:line="560" w:lineRule="exact"/>
              <w:jc w:val="center"/>
              <w:rPr>
                <w:rFonts w:hint="eastAsia" w:ascii="仿宋" w:hAnsi="仿宋" w:eastAsia="仿宋" w:cs="仿宋"/>
                <w:kern w:val="0"/>
                <w:sz w:val="32"/>
                <w:szCs w:val="32"/>
                <w:lang w:val="en-US" w:eastAsia="zh-CN"/>
              </w:rPr>
            </w:pPr>
          </w:p>
        </w:tc>
      </w:tr>
      <w:tr w14:paraId="05C0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2A738595">
            <w:pPr>
              <w:pStyle w:val="9"/>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w:t>
            </w:r>
          </w:p>
        </w:tc>
        <w:tc>
          <w:tcPr>
            <w:tcW w:w="4120" w:type="dxa"/>
            <w:shd w:val="clear" w:color="auto" w:fill="auto"/>
            <w:vAlign w:val="center"/>
          </w:tcPr>
          <w:p w14:paraId="62A367EE">
            <w:pPr>
              <w:spacing w:line="560" w:lineRule="exact"/>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rPr>
              <w:t>中医定向透药治疗仪</w:t>
            </w:r>
          </w:p>
        </w:tc>
        <w:tc>
          <w:tcPr>
            <w:tcW w:w="1170" w:type="dxa"/>
            <w:shd w:val="clear" w:color="auto" w:fill="auto"/>
            <w:vAlign w:val="center"/>
          </w:tcPr>
          <w:p w14:paraId="2C048A34">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台</w:t>
            </w:r>
          </w:p>
        </w:tc>
        <w:tc>
          <w:tcPr>
            <w:tcW w:w="1365" w:type="dxa"/>
            <w:shd w:val="clear" w:color="auto" w:fill="auto"/>
            <w:vAlign w:val="center"/>
          </w:tcPr>
          <w:p w14:paraId="2D959FF5">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2</w:t>
            </w:r>
          </w:p>
        </w:tc>
        <w:tc>
          <w:tcPr>
            <w:tcW w:w="1540" w:type="dxa"/>
            <w:vMerge w:val="continue"/>
            <w:shd w:val="clear" w:color="auto" w:fill="auto"/>
            <w:vAlign w:val="center"/>
          </w:tcPr>
          <w:p w14:paraId="3C6F2FD3">
            <w:pPr>
              <w:spacing w:line="560" w:lineRule="exact"/>
              <w:jc w:val="center"/>
              <w:rPr>
                <w:rFonts w:hint="eastAsia" w:ascii="仿宋" w:hAnsi="仿宋" w:eastAsia="仿宋" w:cs="仿宋"/>
                <w:kern w:val="0"/>
                <w:sz w:val="32"/>
                <w:szCs w:val="32"/>
                <w:lang w:val="en-US" w:eastAsia="zh-CN"/>
              </w:rPr>
            </w:pPr>
          </w:p>
        </w:tc>
      </w:tr>
      <w:tr w14:paraId="2D3D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45BBA2CB">
            <w:pPr>
              <w:pStyle w:val="9"/>
              <w:ind w:left="0" w:leftChars="0" w:firstLine="0" w:firstLineChars="0"/>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w:t>
            </w:r>
          </w:p>
        </w:tc>
        <w:tc>
          <w:tcPr>
            <w:tcW w:w="4120" w:type="dxa"/>
            <w:shd w:val="clear" w:color="auto" w:fill="auto"/>
            <w:vAlign w:val="center"/>
          </w:tcPr>
          <w:p w14:paraId="03F1E99A">
            <w:pPr>
              <w:spacing w:line="560" w:lineRule="exact"/>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rPr>
              <w:t>上下肢主被动康复训练系统</w:t>
            </w:r>
          </w:p>
        </w:tc>
        <w:tc>
          <w:tcPr>
            <w:tcW w:w="1170" w:type="dxa"/>
            <w:shd w:val="clear" w:color="auto" w:fill="auto"/>
            <w:vAlign w:val="center"/>
          </w:tcPr>
          <w:p w14:paraId="29A68AAD">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台</w:t>
            </w:r>
          </w:p>
        </w:tc>
        <w:tc>
          <w:tcPr>
            <w:tcW w:w="1365" w:type="dxa"/>
            <w:shd w:val="clear" w:color="auto" w:fill="auto"/>
            <w:vAlign w:val="center"/>
          </w:tcPr>
          <w:p w14:paraId="1AD4F9A4">
            <w:pPr>
              <w:spacing w:line="56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rPr>
              <w:t>1</w:t>
            </w:r>
          </w:p>
        </w:tc>
        <w:tc>
          <w:tcPr>
            <w:tcW w:w="1540" w:type="dxa"/>
            <w:vMerge w:val="continue"/>
            <w:shd w:val="clear" w:color="auto" w:fill="auto"/>
            <w:vAlign w:val="center"/>
          </w:tcPr>
          <w:p w14:paraId="51BE1E26">
            <w:pPr>
              <w:spacing w:line="560" w:lineRule="exact"/>
              <w:jc w:val="center"/>
              <w:rPr>
                <w:rFonts w:hint="eastAsia" w:ascii="仿宋" w:hAnsi="仿宋" w:eastAsia="仿宋" w:cs="仿宋"/>
                <w:kern w:val="0"/>
                <w:sz w:val="32"/>
                <w:szCs w:val="32"/>
                <w:lang w:val="en-US" w:eastAsia="zh-CN"/>
              </w:rPr>
            </w:pPr>
          </w:p>
        </w:tc>
      </w:tr>
    </w:tbl>
    <w:p w14:paraId="5A1B27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2</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采购编号：</w:t>
      </w:r>
      <w:r>
        <w:rPr>
          <w:rFonts w:hint="eastAsia" w:ascii="仿宋" w:hAnsi="仿宋" w:eastAsia="仿宋" w:cs="仿宋"/>
          <w:color w:val="000000"/>
          <w:sz w:val="32"/>
          <w:szCs w:val="32"/>
          <w:lang w:val="en-US" w:eastAsia="zh-CN"/>
        </w:rPr>
        <w:t>2026012</w:t>
      </w:r>
    </w:p>
    <w:p w14:paraId="00147F1A">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color w:val="FF0000"/>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color w:val="000000"/>
          <w:sz w:val="32"/>
          <w:szCs w:val="32"/>
        </w:rPr>
        <w:t>采购方式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院内公开招标（</w:t>
      </w:r>
      <w:r>
        <w:rPr>
          <w:rFonts w:hint="eastAsia" w:ascii="仿宋" w:hAnsi="仿宋" w:eastAsia="仿宋" w:cs="仿宋"/>
          <w:color w:val="000000"/>
          <w:sz w:val="32"/>
          <w:szCs w:val="32"/>
          <w:lang w:eastAsia="zh-CN"/>
        </w:rPr>
        <w:t>竞争性谈判</w:t>
      </w:r>
      <w:r>
        <w:rPr>
          <w:rFonts w:hint="eastAsia" w:ascii="仿宋" w:hAnsi="仿宋" w:eastAsia="仿宋" w:cs="仿宋"/>
          <w:color w:val="000000"/>
          <w:sz w:val="32"/>
          <w:szCs w:val="32"/>
        </w:rPr>
        <w:t>）</w:t>
      </w:r>
    </w:p>
    <w:p w14:paraId="1593E1AB">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二、投标人的资格要求</w:t>
      </w:r>
    </w:p>
    <w:p w14:paraId="770A0B8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在中华人民共和国境内注册，能够独立承担民事责任的法人。</w:t>
      </w:r>
    </w:p>
    <w:p w14:paraId="6EAEF95E">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要求投标人遵守国家有关法律、法规、规章制度，具有良好的商业信誉，具有履行合同的能力和良好的履行合同的记录。</w:t>
      </w:r>
    </w:p>
    <w:p w14:paraId="022B4F76">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要求投标人有依法缴纳税收和社会保障资金的良好记录，并在投标文件中提供相关证明文件。</w:t>
      </w:r>
    </w:p>
    <w:p w14:paraId="038E5455">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要求投标人参加政府采购活动近三年内，在经营活动中没有重大违法记录。</w:t>
      </w:r>
    </w:p>
    <w:p w14:paraId="6CF9BB76">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投标人未被“信用中国”（www.creditchina.gov.cn）列入失信被执行人、重大税收违法案件当事人名单、政府采购严重违法失信行为记录名单，并提交截图证明。</w:t>
      </w:r>
    </w:p>
    <w:p w14:paraId="66FF2D6F">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定资格条件：①投标人为经营企业的:A、产品为第三类医疗器械的需提供《医疗器械经营许可证》；B、产品为第二类医疗器械的需提供《第二类医疗器械经营备案凭证》；投标人为产品制造商的：需提供《医疗器械生产许可证》或《第一类医疗器械生产备案凭证》。</w:t>
      </w:r>
    </w:p>
    <w:p w14:paraId="2AFA5327">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②投标人提供的国内产品:A.为一类医疗器械的需提供《第一类医疗器械备案凭证》、《第一类医疗器械生产备案凭证》;B.为二、三类医疗器械的需提供《医疗器械注册证》、《医疗器械生产许可证》。</w:t>
      </w:r>
    </w:p>
    <w:p w14:paraId="367BD96E">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三、投标及开标事宜</w:t>
      </w:r>
    </w:p>
    <w:p w14:paraId="6499080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投标人需提供的相关材料和标书要求详见招标文件，按招标文件要求制作投标文件并胶装成册密封，一正一副，加盖公章。</w:t>
      </w:r>
    </w:p>
    <w:p w14:paraId="6AE9CFBC">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报名截止时间：2026年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日17:00止（北京时间）</w:t>
      </w:r>
    </w:p>
    <w:p w14:paraId="4CBE169B">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报名地址：怀化市第五人民医院运营管理部</w:t>
      </w:r>
      <w:r>
        <w:rPr>
          <w:rFonts w:hint="eastAsia" w:ascii="仿宋" w:hAnsi="仿宋" w:eastAsia="仿宋" w:cs="仿宋"/>
          <w:sz w:val="32"/>
          <w:szCs w:val="32"/>
          <w:lang w:eastAsia="zh-CN"/>
        </w:rPr>
        <w:t>招采办</w:t>
      </w:r>
    </w:p>
    <w:p w14:paraId="5C714859">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开标时间：2026年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日1</w:t>
      </w:r>
      <w:r>
        <w:rPr>
          <w:rFonts w:hint="eastAsia" w:ascii="仿宋" w:hAnsi="仿宋" w:eastAsia="仿宋" w:cs="仿宋"/>
          <w:sz w:val="32"/>
          <w:szCs w:val="32"/>
          <w:lang w:val="en-US" w:eastAsia="zh-CN"/>
        </w:rPr>
        <w:t>5</w:t>
      </w:r>
      <w:r>
        <w:rPr>
          <w:rFonts w:hint="eastAsia" w:ascii="仿宋" w:hAnsi="仿宋" w:eastAsia="仿宋" w:cs="仿宋"/>
          <w:sz w:val="32"/>
          <w:szCs w:val="32"/>
        </w:rPr>
        <w:t>:00（北京时间）</w:t>
      </w:r>
    </w:p>
    <w:p w14:paraId="430061A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开标地点：怀化市第五人民医院行政四楼开标室                                                                                       </w:t>
      </w:r>
    </w:p>
    <w:p w14:paraId="2C0ED075">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四、联系方式</w:t>
      </w:r>
    </w:p>
    <w:p w14:paraId="0D619A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color w:val="000000"/>
          <w:sz w:val="32"/>
          <w:szCs w:val="32"/>
        </w:rPr>
        <w:t>采购人：</w:t>
      </w:r>
      <w:r>
        <w:rPr>
          <w:rFonts w:hint="eastAsia" w:ascii="仿宋" w:hAnsi="仿宋" w:eastAsia="仿宋" w:cs="仿宋"/>
          <w:sz w:val="32"/>
          <w:szCs w:val="32"/>
        </w:rPr>
        <w:t>怀化市第五人民医院</w:t>
      </w:r>
    </w:p>
    <w:p w14:paraId="11DFB3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eastAsia="zh-CN"/>
        </w:rPr>
        <w:t>殷先生</w:t>
      </w:r>
      <w:r>
        <w:rPr>
          <w:rFonts w:hint="eastAsia" w:ascii="仿宋" w:hAnsi="仿宋" w:eastAsia="仿宋" w:cs="仿宋"/>
          <w:color w:val="000000"/>
          <w:sz w:val="32"/>
          <w:szCs w:val="32"/>
          <w:lang w:val="en-US" w:eastAsia="zh-CN"/>
        </w:rPr>
        <w:t xml:space="preserve"> 18307415654</w:t>
      </w:r>
      <w:r>
        <w:rPr>
          <w:rFonts w:hint="eastAsia" w:ascii="仿宋" w:hAnsi="仿宋" w:eastAsia="仿宋" w:cs="仿宋"/>
          <w:color w:val="000000"/>
          <w:sz w:val="32"/>
          <w:szCs w:val="32"/>
        </w:rPr>
        <w:t xml:space="preserve"> </w:t>
      </w:r>
    </w:p>
    <w:p w14:paraId="542624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color w:val="000000"/>
          <w:sz w:val="32"/>
          <w:szCs w:val="32"/>
          <w:lang w:val="en-US" w:eastAsia="zh-CN"/>
        </w:rPr>
        <w:t xml:space="preserve">  </w:t>
      </w:r>
    </w:p>
    <w:p w14:paraId="1B399042">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44B272C8">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1054D32F">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234D963E">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1A4A31B4">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37387C36">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1D3E649E">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17897C31">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44F44EFD">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5674D046">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697934BB">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2C88E8AF">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629BC838">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22359D22">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1A353B3B">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10"/>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40A7B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noWrap w:val="0"/>
            <w:vAlign w:val="center"/>
          </w:tcPr>
          <w:p w14:paraId="7E906005">
            <w:pPr>
              <w:jc w:val="center"/>
              <w:rPr>
                <w:rFonts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noWrap w:val="0"/>
            <w:vAlign w:val="center"/>
          </w:tcPr>
          <w:p w14:paraId="1C91A9CE">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6069F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noWrap w:val="0"/>
            <w:vAlign w:val="center"/>
          </w:tcPr>
          <w:p w14:paraId="1E23274F">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4443F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noWrap w:val="0"/>
            <w:vAlign w:val="center"/>
          </w:tcPr>
          <w:p w14:paraId="2D281ECF">
            <w:pPr>
              <w:jc w:val="center"/>
              <w:rPr>
                <w:rFonts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noWrap w:val="0"/>
            <w:vAlign w:val="center"/>
          </w:tcPr>
          <w:p w14:paraId="03B9C220">
            <w:pPr>
              <w:rPr>
                <w:rFonts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4494C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263" w:type="dxa"/>
            <w:gridSpan w:val="2"/>
            <w:noWrap w:val="0"/>
            <w:vAlign w:val="center"/>
          </w:tcPr>
          <w:p w14:paraId="390D749D">
            <w:pPr>
              <w:jc w:val="center"/>
              <w:rPr>
                <w:rFonts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7CE9F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noWrap w:val="0"/>
            <w:vAlign w:val="center"/>
          </w:tcPr>
          <w:p w14:paraId="4465665B">
            <w:pPr>
              <w:jc w:val="center"/>
              <w:rPr>
                <w:rFonts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noWrap w:val="0"/>
            <w:vAlign w:val="center"/>
          </w:tcPr>
          <w:p w14:paraId="47AEE071">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6BE22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noWrap w:val="0"/>
            <w:vAlign w:val="center"/>
          </w:tcPr>
          <w:p w14:paraId="231193BC">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038A22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65" w:type="dxa"/>
            <w:noWrap w:val="0"/>
            <w:vAlign w:val="center"/>
          </w:tcPr>
          <w:p w14:paraId="0484F8B0">
            <w:pPr>
              <w:jc w:val="center"/>
              <w:rPr>
                <w:rFonts w:ascii="仿宋" w:hAnsi="仿宋" w:eastAsia="仿宋" w:cs="仿宋"/>
                <w:color w:val="000000"/>
                <w:sz w:val="24"/>
                <w:szCs w:val="24"/>
              </w:rPr>
            </w:pPr>
            <w:r>
              <w:rPr>
                <w:rFonts w:hint="eastAsia" w:ascii="仿宋" w:hAnsi="仿宋" w:eastAsia="仿宋" w:cs="仿宋"/>
                <w:color w:val="000000"/>
                <w:sz w:val="24"/>
                <w:szCs w:val="24"/>
              </w:rPr>
              <w:t>3.1</w:t>
            </w:r>
          </w:p>
        </w:tc>
        <w:tc>
          <w:tcPr>
            <w:tcW w:w="8498" w:type="dxa"/>
            <w:noWrap w:val="0"/>
            <w:vAlign w:val="center"/>
          </w:tcPr>
          <w:p w14:paraId="4DF65FA5">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（境内货物）其他伴随的服务费用：运至最终目的地的内陆运输、保险、安装、调试、验收、培训及伴随货物交运有关费用和标准附件价、备品备件及专用工具。</w:t>
            </w:r>
          </w:p>
        </w:tc>
      </w:tr>
      <w:tr w14:paraId="2E622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65" w:type="dxa"/>
            <w:noWrap w:val="0"/>
            <w:vAlign w:val="center"/>
          </w:tcPr>
          <w:p w14:paraId="6B5399E9">
            <w:pPr>
              <w:jc w:val="center"/>
              <w:rPr>
                <w:rFonts w:ascii="仿宋" w:hAnsi="仿宋" w:eastAsia="仿宋" w:cs="仿宋"/>
                <w:dstrike/>
                <w:color w:val="000000"/>
                <w:sz w:val="24"/>
                <w:szCs w:val="24"/>
                <w:em w:val="dot"/>
              </w:rPr>
            </w:pPr>
            <w:r>
              <w:rPr>
                <w:rFonts w:hint="eastAsia" w:ascii="仿宋" w:hAnsi="仿宋" w:eastAsia="仿宋" w:cs="仿宋"/>
                <w:color w:val="000000"/>
                <w:sz w:val="24"/>
                <w:szCs w:val="24"/>
              </w:rPr>
              <w:t>3.2</w:t>
            </w:r>
          </w:p>
        </w:tc>
        <w:tc>
          <w:tcPr>
            <w:tcW w:w="8498" w:type="dxa"/>
            <w:noWrap w:val="0"/>
            <w:vAlign w:val="center"/>
          </w:tcPr>
          <w:p w14:paraId="1544D122">
            <w:pPr>
              <w:adjustRightInd w:val="0"/>
              <w:snapToGrid w:val="0"/>
              <w:spacing w:line="440" w:lineRule="exact"/>
              <w:ind w:left="210" w:hanging="210"/>
              <w:rPr>
                <w:rFonts w:ascii="仿宋" w:hAnsi="仿宋" w:eastAsia="仿宋" w:cs="仿宋"/>
                <w:color w:val="000000"/>
                <w:sz w:val="24"/>
                <w:szCs w:val="24"/>
              </w:rPr>
            </w:pPr>
            <w:r>
              <w:rPr>
                <w:rFonts w:hint="eastAsia" w:ascii="仿宋" w:hAnsi="仿宋" w:eastAsia="仿宋" w:cs="仿宋"/>
                <w:color w:val="000000"/>
                <w:sz w:val="24"/>
                <w:szCs w:val="24"/>
              </w:rPr>
              <w:t>（境外货物）</w:t>
            </w:r>
            <w:r>
              <w:rPr>
                <w:rFonts w:hint="eastAsia" w:ascii="仿宋" w:hAnsi="仿宋" w:eastAsia="仿宋" w:cs="仿宋"/>
                <w:color w:val="000000"/>
                <w:sz w:val="24"/>
                <w:szCs w:val="24"/>
                <w:lang w:val="zh-CN"/>
              </w:rPr>
              <w:t>进口环节关税和增值税：无</w:t>
            </w:r>
          </w:p>
        </w:tc>
      </w:tr>
      <w:tr w14:paraId="65A30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5" w:type="dxa"/>
            <w:noWrap w:val="0"/>
            <w:vAlign w:val="center"/>
          </w:tcPr>
          <w:p w14:paraId="04D7BA6F">
            <w:pPr>
              <w:jc w:val="center"/>
              <w:rPr>
                <w:rFonts w:ascii="仿宋" w:hAnsi="仿宋" w:eastAsia="仿宋" w:cs="仿宋"/>
                <w:color w:val="000000"/>
                <w:sz w:val="24"/>
                <w:szCs w:val="24"/>
              </w:rPr>
            </w:pPr>
            <w:r>
              <w:rPr>
                <w:rFonts w:hint="eastAsia" w:ascii="仿宋" w:hAnsi="仿宋" w:eastAsia="仿宋" w:cs="仿宋"/>
                <w:color w:val="000000"/>
                <w:sz w:val="24"/>
                <w:szCs w:val="24"/>
              </w:rPr>
              <w:t>3.3</w:t>
            </w:r>
          </w:p>
        </w:tc>
        <w:tc>
          <w:tcPr>
            <w:tcW w:w="8498" w:type="dxa"/>
            <w:noWrap w:val="0"/>
            <w:vAlign w:val="center"/>
          </w:tcPr>
          <w:p w14:paraId="2AAD0B05">
            <w:pPr>
              <w:adjustRightInd w:val="0"/>
              <w:snapToGrid w:val="0"/>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（境外货物）其他伴随的服务费用：无</w:t>
            </w:r>
          </w:p>
        </w:tc>
      </w:tr>
      <w:tr w14:paraId="3911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noWrap w:val="0"/>
            <w:vAlign w:val="center"/>
          </w:tcPr>
          <w:p w14:paraId="0678FAA0">
            <w:pPr>
              <w:jc w:val="center"/>
              <w:rPr>
                <w:rFonts w:ascii="仿宋" w:hAnsi="仿宋" w:eastAsia="仿宋" w:cs="仿宋"/>
                <w:color w:val="000000"/>
                <w:sz w:val="24"/>
                <w:szCs w:val="24"/>
              </w:rPr>
            </w:pPr>
            <w:r>
              <w:rPr>
                <w:rFonts w:hint="eastAsia" w:ascii="仿宋" w:hAnsi="仿宋" w:eastAsia="仿宋" w:cs="仿宋"/>
                <w:color w:val="000000"/>
                <w:sz w:val="24"/>
                <w:szCs w:val="24"/>
              </w:rPr>
              <w:t>3.4</w:t>
            </w:r>
          </w:p>
        </w:tc>
        <w:tc>
          <w:tcPr>
            <w:tcW w:w="8498" w:type="dxa"/>
            <w:noWrap w:val="0"/>
            <w:vAlign w:val="center"/>
          </w:tcPr>
          <w:p w14:paraId="5514A065">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12A88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noWrap w:val="0"/>
            <w:vAlign w:val="center"/>
          </w:tcPr>
          <w:p w14:paraId="6F7316B0">
            <w:pPr>
              <w:jc w:val="center"/>
              <w:rPr>
                <w:rFonts w:ascii="仿宋" w:hAnsi="仿宋" w:eastAsia="仿宋" w:cs="仿宋"/>
                <w:color w:val="000000"/>
                <w:sz w:val="24"/>
                <w:szCs w:val="24"/>
              </w:rPr>
            </w:pPr>
            <w:r>
              <w:rPr>
                <w:rFonts w:hint="eastAsia" w:ascii="仿宋" w:hAnsi="仿宋" w:eastAsia="仿宋" w:cs="仿宋"/>
                <w:color w:val="000000"/>
                <w:sz w:val="24"/>
                <w:szCs w:val="24"/>
              </w:rPr>
              <w:t>3.5</w:t>
            </w:r>
          </w:p>
        </w:tc>
        <w:tc>
          <w:tcPr>
            <w:tcW w:w="8498" w:type="dxa"/>
            <w:noWrap w:val="0"/>
            <w:vAlign w:val="center"/>
          </w:tcPr>
          <w:p w14:paraId="76CABAB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5ABD7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noWrap w:val="0"/>
            <w:vAlign w:val="center"/>
          </w:tcPr>
          <w:p w14:paraId="180A8182">
            <w:pPr>
              <w:jc w:val="center"/>
              <w:rPr>
                <w:rFonts w:ascii="仿宋" w:hAnsi="仿宋" w:eastAsia="仿宋" w:cs="仿宋"/>
                <w:color w:val="000000"/>
                <w:sz w:val="24"/>
                <w:szCs w:val="24"/>
              </w:rPr>
            </w:pPr>
            <w:r>
              <w:rPr>
                <w:rFonts w:hint="eastAsia" w:ascii="仿宋" w:hAnsi="仿宋" w:eastAsia="仿宋" w:cs="仿宋"/>
                <w:color w:val="000000"/>
                <w:sz w:val="24"/>
                <w:szCs w:val="24"/>
              </w:rPr>
              <w:t>3.6</w:t>
            </w:r>
          </w:p>
        </w:tc>
        <w:tc>
          <w:tcPr>
            <w:tcW w:w="8498" w:type="dxa"/>
            <w:noWrap w:val="0"/>
            <w:vAlign w:val="center"/>
          </w:tcPr>
          <w:p w14:paraId="7A032C70">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65BDA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noWrap w:val="0"/>
            <w:vAlign w:val="center"/>
          </w:tcPr>
          <w:p w14:paraId="00A18635">
            <w:pPr>
              <w:jc w:val="center"/>
              <w:rPr>
                <w:rFonts w:ascii="仿宋" w:hAnsi="仿宋" w:eastAsia="仿宋" w:cs="仿宋"/>
                <w:color w:val="000000"/>
                <w:sz w:val="24"/>
                <w:szCs w:val="24"/>
              </w:rPr>
            </w:pPr>
            <w:r>
              <w:rPr>
                <w:rFonts w:hint="eastAsia" w:ascii="仿宋" w:hAnsi="仿宋" w:eastAsia="仿宋" w:cs="仿宋"/>
                <w:color w:val="000000"/>
                <w:sz w:val="24"/>
                <w:szCs w:val="24"/>
              </w:rPr>
              <w:t>3.7</w:t>
            </w:r>
          </w:p>
        </w:tc>
        <w:tc>
          <w:tcPr>
            <w:tcW w:w="8498" w:type="dxa"/>
            <w:noWrap w:val="0"/>
            <w:vAlign w:val="center"/>
          </w:tcPr>
          <w:p w14:paraId="4D14F1F6">
            <w:pPr>
              <w:rPr>
                <w:rFonts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24983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noWrap w:val="0"/>
            <w:vAlign w:val="center"/>
          </w:tcPr>
          <w:p w14:paraId="5C4AC45F">
            <w:pPr>
              <w:jc w:val="center"/>
              <w:rPr>
                <w:rFonts w:ascii="仿宋" w:hAnsi="仿宋" w:eastAsia="仿宋" w:cs="仿宋"/>
                <w:color w:val="000000"/>
                <w:sz w:val="24"/>
                <w:szCs w:val="24"/>
              </w:rPr>
            </w:pPr>
            <w:r>
              <w:rPr>
                <w:rFonts w:hint="eastAsia" w:ascii="仿宋" w:hAnsi="仿宋" w:eastAsia="仿宋" w:cs="仿宋"/>
                <w:color w:val="000000"/>
                <w:sz w:val="24"/>
                <w:szCs w:val="24"/>
              </w:rPr>
              <w:t>3.8</w:t>
            </w:r>
          </w:p>
        </w:tc>
        <w:tc>
          <w:tcPr>
            <w:tcW w:w="8498" w:type="dxa"/>
            <w:noWrap w:val="0"/>
            <w:vAlign w:val="center"/>
          </w:tcPr>
          <w:p w14:paraId="58539FB3">
            <w:pPr>
              <w:rPr>
                <w:rFonts w:hint="eastAsia" w:ascii="仿宋" w:hAnsi="仿宋" w:eastAsia="宋体"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份。加盖投标单位公章</w:t>
            </w:r>
            <w:r>
              <w:rPr>
                <w:rFonts w:hint="eastAsia" w:ascii="仿宋" w:hAnsi="仿宋" w:eastAsia="仿宋" w:cs="仿宋"/>
                <w:color w:val="FF0000"/>
                <w:sz w:val="24"/>
                <w:szCs w:val="24"/>
                <w:lang w:eastAsia="zh-CN"/>
              </w:rPr>
              <w:t>。</w:t>
            </w:r>
          </w:p>
        </w:tc>
      </w:tr>
      <w:tr w14:paraId="498A7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noWrap w:val="0"/>
            <w:vAlign w:val="center"/>
          </w:tcPr>
          <w:p w14:paraId="71C227BE">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6A7A1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noWrap w:val="0"/>
            <w:vAlign w:val="center"/>
          </w:tcPr>
          <w:p w14:paraId="3E04B5D5">
            <w:pPr>
              <w:jc w:val="center"/>
              <w:rPr>
                <w:rFonts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noWrap w:val="0"/>
            <w:vAlign w:val="center"/>
          </w:tcPr>
          <w:p w14:paraId="6D26794C">
            <w:pPr>
              <w:ind w:left="150" w:hanging="120" w:hangingChars="50"/>
              <w:rPr>
                <w:rFonts w:ascii="仿宋" w:hAnsi="仿宋" w:eastAsia="仿宋" w:cs="仿宋"/>
                <w:color w:val="000000"/>
                <w:sz w:val="24"/>
                <w:szCs w:val="24"/>
              </w:rPr>
            </w:pPr>
            <w:r>
              <w:rPr>
                <w:rFonts w:hint="eastAsia" w:ascii="仿宋" w:hAnsi="仿宋" w:eastAsia="仿宋" w:cs="仿宋"/>
                <w:color w:val="000000"/>
                <w:sz w:val="24"/>
                <w:szCs w:val="24"/>
              </w:rPr>
              <w:t>投标文件递交</w:t>
            </w:r>
            <w:r>
              <w:rPr>
                <w:rFonts w:hint="eastAsia" w:ascii="仿宋" w:hAnsi="仿宋" w:eastAsia="仿宋" w:cs="仿宋"/>
                <w:color w:val="000000"/>
                <w:sz w:val="24"/>
                <w:szCs w:val="24"/>
                <w:lang w:eastAsia="zh-TW"/>
              </w:rPr>
              <w:t>截止日期和时间</w:t>
            </w:r>
            <w:r>
              <w:rPr>
                <w:rFonts w:hint="eastAsia" w:ascii="仿宋" w:hAnsi="仿宋" w:eastAsia="仿宋" w:cs="仿宋"/>
                <w:color w:val="000000"/>
                <w:sz w:val="24"/>
                <w:szCs w:val="24"/>
              </w:rPr>
              <w:t>、地址：按招标文件第一章投标邀请中规定。</w:t>
            </w:r>
          </w:p>
        </w:tc>
      </w:tr>
      <w:tr w14:paraId="72AD6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1B1E75AC">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1F1F0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2F6EC754">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noWrap w:val="0"/>
            <w:vAlign w:val="center"/>
          </w:tcPr>
          <w:p w14:paraId="054F7588">
            <w:pPr>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rPr>
              <w:t>评标委员会由技术专家，财务专家，采购专家库随机抽取的专家组成。</w:t>
            </w:r>
          </w:p>
        </w:tc>
      </w:tr>
      <w:tr w14:paraId="4C457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48E4E242">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noWrap w:val="0"/>
            <w:vAlign w:val="center"/>
          </w:tcPr>
          <w:p w14:paraId="1F94D6B0">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评标方法：采用</w:t>
            </w:r>
            <w:r>
              <w:rPr>
                <w:rFonts w:hint="eastAsia" w:ascii="仿宋" w:hAnsi="仿宋" w:eastAsia="仿宋" w:cs="仿宋"/>
                <w:color w:val="000000"/>
                <w:sz w:val="24"/>
                <w:szCs w:val="24"/>
                <w:lang w:eastAsia="zh-CN"/>
              </w:rPr>
              <w:t>竞争性谈判</w:t>
            </w:r>
          </w:p>
        </w:tc>
      </w:tr>
      <w:tr w14:paraId="4A827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3B4BE119">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noWrap w:val="0"/>
            <w:vAlign w:val="center"/>
          </w:tcPr>
          <w:p w14:paraId="78F708CC">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29F75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2E67E20D">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7AC8E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3780EF6">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noWrap w:val="0"/>
            <w:vAlign w:val="center"/>
          </w:tcPr>
          <w:p w14:paraId="6E08068F">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20D01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16C59E4E">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noWrap w:val="0"/>
            <w:vAlign w:val="center"/>
          </w:tcPr>
          <w:p w14:paraId="6A8EE9ED">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tbl>
    <w:p w14:paraId="150FD709">
      <w:pPr>
        <w:pStyle w:val="15"/>
        <w:ind w:left="0" w:leftChars="0" w:firstLine="0" w:firstLineChars="0"/>
        <w:rPr>
          <w:rFonts w:hint="eastAsia" w:eastAsia="仿宋"/>
          <w:sz w:val="24"/>
          <w:szCs w:val="24"/>
          <w:lang w:val="en-US" w:eastAsia="zh-CN"/>
        </w:rPr>
      </w:pPr>
    </w:p>
    <w:bookmarkEnd w:id="1"/>
    <w:bookmarkEnd w:id="2"/>
    <w:bookmarkEnd w:id="3"/>
    <w:p w14:paraId="2B9B3E33">
      <w:pPr>
        <w:spacing w:afterLines="50" w:line="600" w:lineRule="exact"/>
        <w:jc w:val="center"/>
        <w:rPr>
          <w:rFonts w:hint="eastAsia" w:ascii="仿宋" w:hAnsi="仿宋" w:eastAsia="仿宋" w:cs="仿宋"/>
          <w:b/>
          <w:bCs/>
          <w:sz w:val="24"/>
          <w:szCs w:val="24"/>
        </w:rPr>
      </w:pPr>
      <w:r>
        <w:rPr>
          <w:rFonts w:hint="eastAsia" w:ascii="仿宋" w:hAnsi="仿宋" w:eastAsia="仿宋" w:cs="仿宋"/>
          <w:sz w:val="24"/>
          <w:szCs w:val="24"/>
          <w:lang w:val="en-US" w:eastAsia="zh-CN"/>
        </w:rPr>
        <w:t xml:space="preserve"> </w:t>
      </w:r>
      <w:bookmarkStart w:id="4" w:name="_Toc435514844"/>
      <w:bookmarkStart w:id="5" w:name="_Toc27840"/>
      <w:bookmarkStart w:id="6" w:name="_Toc435115053"/>
    </w:p>
    <w:p w14:paraId="69D61B40">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64E8F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6E5423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45F9D3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p w14:paraId="5020ADE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bCs/>
          <w:sz w:val="44"/>
          <w:szCs w:val="44"/>
        </w:rPr>
      </w:pPr>
    </w:p>
    <w:bookmarkEnd w:id="4"/>
    <w:bookmarkEnd w:id="5"/>
    <w:bookmarkEnd w:id="6"/>
    <w:p w14:paraId="1F858D3D">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53A12B08">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56D00A05">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76AE4497">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79B5EF61">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0282EC9">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54315225">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F97677E">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D7BF026">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00A93D48">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02D9F59E">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89D9977">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3C9D123">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1E51DE7B">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r>
        <w:rPr>
          <w:rFonts w:hint="eastAsia" w:ascii="宋体" w:hAnsi="宋体" w:eastAsia="宋体" w:cs="宋体"/>
          <w:b/>
          <w:bCs/>
          <w:sz w:val="44"/>
          <w:szCs w:val="44"/>
        </w:rPr>
        <w:t>第三章  评</w:t>
      </w:r>
      <w:r>
        <w:rPr>
          <w:rFonts w:hint="eastAsia" w:ascii="宋体" w:hAnsi="宋体" w:eastAsia="宋体" w:cs="宋体"/>
          <w:b/>
          <w:bCs/>
          <w:sz w:val="44"/>
          <w:szCs w:val="44"/>
          <w:lang w:eastAsia="zh-CN"/>
        </w:rPr>
        <w:t>价</w:t>
      </w:r>
      <w:r>
        <w:rPr>
          <w:rFonts w:hint="eastAsia" w:ascii="宋体" w:hAnsi="宋体" w:eastAsia="宋体" w:cs="宋体"/>
          <w:b/>
          <w:bCs/>
          <w:sz w:val="44"/>
          <w:szCs w:val="44"/>
        </w:rPr>
        <w:t>体系与标准</w:t>
      </w:r>
    </w:p>
    <w:p w14:paraId="1FC97EB1">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本评标办法采用竞争性谈判方法。</w:t>
      </w:r>
    </w:p>
    <w:p w14:paraId="422E5CAF">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评标步骤：评标委员会先进行投标文件初审，对通过初审的投标文件进行技术、商务及价格的详细评审，最后评标委员会出具评标报告。</w:t>
      </w:r>
    </w:p>
    <w:p w14:paraId="5987A8AE">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本次招标采用最低价评标法进行评审，在满足招标方技术和质量要求的情况下，采用两次报价，由最低价中标；</w:t>
      </w:r>
    </w:p>
    <w:p w14:paraId="571687A0">
      <w:pPr>
        <w:keepNext w:val="0"/>
        <w:keepLines w:val="0"/>
        <w:pageBreakBefore w:val="0"/>
        <w:widowControl w:val="0"/>
        <w:kinsoku/>
        <w:wordWrap/>
        <w:overflowPunct/>
        <w:topLinePunct w:val="0"/>
        <w:bidi w:val="0"/>
        <w:spacing w:line="560" w:lineRule="exact"/>
        <w:ind w:firstLine="640" w:firstLineChars="200"/>
        <w:textAlignment w:val="auto"/>
        <w:outlineLvl w:val="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资格、符合性评审条款</w:t>
      </w:r>
    </w:p>
    <w:p w14:paraId="4EE436FA">
      <w:pPr>
        <w:keepNext w:val="0"/>
        <w:keepLines w:val="0"/>
        <w:pageBreakBefore w:val="0"/>
        <w:widowControl w:val="0"/>
        <w:kinsoku/>
        <w:wordWrap/>
        <w:overflowPunct/>
        <w:topLinePunct w:val="0"/>
        <w:bidi w:val="0"/>
        <w:spacing w:line="360" w:lineRule="exact"/>
        <w:jc w:val="center"/>
        <w:textAlignment w:val="auto"/>
        <w:outlineLvl w:val="0"/>
        <w:rPr>
          <w:rFonts w:ascii="仿宋" w:hAnsi="仿宋" w:eastAsia="仿宋" w:cs="仿宋"/>
          <w:b/>
          <w:bCs/>
          <w:sz w:val="32"/>
          <w:szCs w:val="32"/>
        </w:rPr>
      </w:pPr>
      <w:bookmarkStart w:id="7" w:name="_Toc435514845"/>
      <w:bookmarkStart w:id="8" w:name="_Toc31730"/>
      <w:r>
        <w:rPr>
          <w:rFonts w:hint="eastAsia" w:ascii="仿宋" w:hAnsi="仿宋" w:eastAsia="仿宋" w:cs="仿宋"/>
          <w:b/>
          <w:bCs/>
          <w:sz w:val="32"/>
          <w:szCs w:val="32"/>
        </w:rPr>
        <w:t>资格、符合性评审条款</w:t>
      </w:r>
      <w:bookmarkEnd w:id="7"/>
      <w:bookmarkEnd w:id="8"/>
    </w:p>
    <w:tbl>
      <w:tblPr>
        <w:tblStyle w:val="10"/>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376"/>
        <w:gridCol w:w="1830"/>
        <w:gridCol w:w="5471"/>
      </w:tblGrid>
      <w:tr w14:paraId="3943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3" w:type="dxa"/>
            <w:tcBorders>
              <w:top w:val="single" w:color="auto" w:sz="12" w:space="0"/>
              <w:left w:val="single" w:color="auto" w:sz="12" w:space="0"/>
            </w:tcBorders>
            <w:noWrap w:val="0"/>
            <w:vAlign w:val="center"/>
          </w:tcPr>
          <w:p w14:paraId="0936D7B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376" w:type="dxa"/>
            <w:tcBorders>
              <w:top w:val="single" w:color="auto" w:sz="12" w:space="0"/>
              <w:right w:val="single" w:color="auto" w:sz="12" w:space="0"/>
            </w:tcBorders>
            <w:noWrap w:val="0"/>
            <w:vAlign w:val="center"/>
          </w:tcPr>
          <w:p w14:paraId="5EAEDDE4">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评审目录</w:t>
            </w:r>
          </w:p>
        </w:tc>
        <w:tc>
          <w:tcPr>
            <w:tcW w:w="1830" w:type="dxa"/>
            <w:tcBorders>
              <w:top w:val="single" w:color="auto" w:sz="12" w:space="0"/>
              <w:right w:val="single" w:color="auto" w:sz="12" w:space="0"/>
            </w:tcBorders>
            <w:noWrap w:val="0"/>
            <w:vAlign w:val="center"/>
          </w:tcPr>
          <w:p w14:paraId="3991429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评审因素</w:t>
            </w:r>
          </w:p>
        </w:tc>
        <w:tc>
          <w:tcPr>
            <w:tcW w:w="5471" w:type="dxa"/>
            <w:tcBorders>
              <w:top w:val="single" w:color="auto" w:sz="12" w:space="0"/>
              <w:right w:val="single" w:color="auto" w:sz="12" w:space="0"/>
            </w:tcBorders>
            <w:noWrap w:val="0"/>
            <w:vAlign w:val="center"/>
          </w:tcPr>
          <w:p w14:paraId="52B19F04">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评审标准</w:t>
            </w:r>
          </w:p>
        </w:tc>
      </w:tr>
      <w:tr w14:paraId="5A99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3B39F196">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restart"/>
            <w:tcBorders>
              <w:right w:val="single" w:color="auto" w:sz="12" w:space="0"/>
            </w:tcBorders>
            <w:noWrap w:val="0"/>
            <w:vAlign w:val="center"/>
          </w:tcPr>
          <w:p w14:paraId="0229AA1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形式评审标准</w:t>
            </w:r>
          </w:p>
        </w:tc>
        <w:tc>
          <w:tcPr>
            <w:tcW w:w="1830" w:type="dxa"/>
            <w:tcBorders>
              <w:right w:val="single" w:color="auto" w:sz="12" w:space="0"/>
            </w:tcBorders>
            <w:noWrap w:val="0"/>
            <w:vAlign w:val="center"/>
          </w:tcPr>
          <w:p w14:paraId="7A3CD05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投标供应商名称</w:t>
            </w:r>
          </w:p>
        </w:tc>
        <w:tc>
          <w:tcPr>
            <w:tcW w:w="5471" w:type="dxa"/>
            <w:tcBorders>
              <w:right w:val="single" w:color="auto" w:sz="12" w:space="0"/>
            </w:tcBorders>
            <w:noWrap w:val="0"/>
            <w:vAlign w:val="center"/>
          </w:tcPr>
          <w:p w14:paraId="055944AD">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与营业执照、医疗器械经营企业许可证一致</w:t>
            </w:r>
          </w:p>
        </w:tc>
      </w:tr>
      <w:tr w14:paraId="7B00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209EBCF0">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continue"/>
            <w:tcBorders>
              <w:right w:val="single" w:color="auto" w:sz="12" w:space="0"/>
            </w:tcBorders>
            <w:noWrap w:val="0"/>
            <w:vAlign w:val="center"/>
          </w:tcPr>
          <w:p w14:paraId="51620C05">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43DEC96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投标函签字盖章</w:t>
            </w:r>
          </w:p>
        </w:tc>
        <w:tc>
          <w:tcPr>
            <w:tcW w:w="5471" w:type="dxa"/>
            <w:tcBorders>
              <w:right w:val="single" w:color="auto" w:sz="12" w:space="0"/>
            </w:tcBorders>
            <w:noWrap w:val="0"/>
            <w:vAlign w:val="center"/>
          </w:tcPr>
          <w:p w14:paraId="479BBD44">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投标文件中要求签字的页面，应由投标供应商的法定代表人或其委托代理人亲笔签署姓名；</w:t>
            </w:r>
            <w:r>
              <w:rPr>
                <w:rFonts w:hint="eastAsia" w:ascii="仿宋" w:hAnsi="仿宋" w:eastAsia="仿宋" w:cs="仿宋"/>
                <w:sz w:val="24"/>
                <w:szCs w:val="24"/>
                <w:lang w:eastAsia="zh-CN"/>
              </w:rPr>
              <w:t>投标文件均需加盖投标</w:t>
            </w:r>
            <w:r>
              <w:rPr>
                <w:rFonts w:hint="eastAsia" w:ascii="仿宋" w:hAnsi="仿宋" w:eastAsia="仿宋" w:cs="仿宋"/>
                <w:sz w:val="24"/>
                <w:szCs w:val="24"/>
              </w:rPr>
              <w:t>单位公章。</w:t>
            </w:r>
          </w:p>
        </w:tc>
      </w:tr>
      <w:tr w14:paraId="3470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72F5A34C">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restart"/>
            <w:tcBorders>
              <w:right w:val="single" w:color="auto" w:sz="12" w:space="0"/>
            </w:tcBorders>
            <w:noWrap w:val="0"/>
            <w:vAlign w:val="center"/>
          </w:tcPr>
          <w:p w14:paraId="77BFF409">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资格评审标准</w:t>
            </w:r>
          </w:p>
        </w:tc>
        <w:tc>
          <w:tcPr>
            <w:tcW w:w="1830" w:type="dxa"/>
            <w:tcBorders>
              <w:right w:val="single" w:color="auto" w:sz="12" w:space="0"/>
            </w:tcBorders>
            <w:noWrap w:val="0"/>
            <w:vAlign w:val="center"/>
          </w:tcPr>
          <w:p w14:paraId="50FA76D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营业执照</w:t>
            </w:r>
          </w:p>
        </w:tc>
        <w:tc>
          <w:tcPr>
            <w:tcW w:w="5471" w:type="dxa"/>
            <w:tcBorders>
              <w:right w:val="single" w:color="auto" w:sz="12" w:space="0"/>
            </w:tcBorders>
            <w:noWrap w:val="0"/>
            <w:vAlign w:val="center"/>
          </w:tcPr>
          <w:p w14:paraId="53B52B57">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具备有效的营业执照</w:t>
            </w:r>
          </w:p>
        </w:tc>
      </w:tr>
      <w:tr w14:paraId="432B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70E27AD0">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kern w:val="0"/>
                <w:sz w:val="24"/>
                <w:szCs w:val="24"/>
              </w:rPr>
            </w:pPr>
          </w:p>
        </w:tc>
        <w:tc>
          <w:tcPr>
            <w:tcW w:w="1376" w:type="dxa"/>
            <w:vMerge w:val="continue"/>
            <w:tcBorders>
              <w:right w:val="single" w:color="auto" w:sz="12" w:space="0"/>
            </w:tcBorders>
            <w:noWrap w:val="0"/>
            <w:vAlign w:val="center"/>
          </w:tcPr>
          <w:p w14:paraId="1D524E9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522EDF2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资格要求</w:t>
            </w:r>
          </w:p>
        </w:tc>
        <w:tc>
          <w:tcPr>
            <w:tcW w:w="5471" w:type="dxa"/>
            <w:tcBorders>
              <w:right w:val="single" w:color="auto" w:sz="12" w:space="0"/>
            </w:tcBorders>
            <w:noWrap w:val="0"/>
            <w:vAlign w:val="center"/>
          </w:tcPr>
          <w:p w14:paraId="38FA16D0">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投标供应商须取得取得行政主管部门颁发的医疗器械经营许可证或医疗器械生产企业许可证（或备案凭证）；投标产品须取得相应的行政主管部门颁发的医疗器械产品注册证或备案证（国家有要求的产品）。</w:t>
            </w:r>
          </w:p>
        </w:tc>
      </w:tr>
      <w:tr w14:paraId="6D28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13" w:type="dxa"/>
            <w:tcBorders>
              <w:left w:val="single" w:color="auto" w:sz="12" w:space="0"/>
            </w:tcBorders>
            <w:noWrap w:val="0"/>
            <w:vAlign w:val="center"/>
          </w:tcPr>
          <w:p w14:paraId="71E53708">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continue"/>
            <w:tcBorders>
              <w:right w:val="single" w:color="auto" w:sz="12" w:space="0"/>
            </w:tcBorders>
            <w:noWrap w:val="0"/>
            <w:vAlign w:val="center"/>
          </w:tcPr>
          <w:p w14:paraId="2EAB7A8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45AC5A3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财务要求</w:t>
            </w:r>
          </w:p>
        </w:tc>
        <w:tc>
          <w:tcPr>
            <w:tcW w:w="5471" w:type="dxa"/>
            <w:tcBorders>
              <w:right w:val="single" w:color="auto" w:sz="12" w:space="0"/>
            </w:tcBorders>
            <w:noWrap w:val="0"/>
            <w:vAlign w:val="center"/>
          </w:tcPr>
          <w:p w14:paraId="36849D59">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财务状况良好且无亏损。投标人为新成立的，须提供成立至今的月或季度财务报表复印件或自本招标公告发布之日起由投标人基本开户银行出具的资信证明原件。</w:t>
            </w:r>
          </w:p>
        </w:tc>
      </w:tr>
      <w:tr w14:paraId="6489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250F0E61">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tcBorders>
              <w:right w:val="single" w:color="auto" w:sz="12" w:space="0"/>
            </w:tcBorders>
            <w:noWrap w:val="0"/>
            <w:vAlign w:val="center"/>
          </w:tcPr>
          <w:p w14:paraId="49C7DD4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4B79A0BF">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信誉要求</w:t>
            </w:r>
          </w:p>
        </w:tc>
        <w:tc>
          <w:tcPr>
            <w:tcW w:w="5471" w:type="dxa"/>
            <w:tcBorders>
              <w:right w:val="single" w:color="auto" w:sz="12" w:space="0"/>
            </w:tcBorders>
            <w:noWrap w:val="0"/>
            <w:vAlign w:val="center"/>
          </w:tcPr>
          <w:p w14:paraId="52C86D15">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投标供应商在“信用中国”网站（www.creditchina.gov.cn）上未被列入失信被执行人、重大税收违法案件当事人名单、中国政府采购网（www.ccgp.gov.cn）上未被列入政府采购严重违法失信行为记录名单的不良行为记录；中国裁判文书网（http://wenshu.court.gov.cn/渠道查询无不良记录；查询时点为投标报名截止时间开始。</w:t>
            </w:r>
          </w:p>
        </w:tc>
      </w:tr>
      <w:tr w14:paraId="0F5E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0BA80B7D">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restart"/>
            <w:tcBorders>
              <w:right w:val="single" w:color="auto" w:sz="12" w:space="0"/>
            </w:tcBorders>
            <w:noWrap w:val="0"/>
            <w:vAlign w:val="center"/>
          </w:tcPr>
          <w:p w14:paraId="1A3C18E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响应性</w:t>
            </w:r>
          </w:p>
          <w:p w14:paraId="30AF121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评审</w:t>
            </w:r>
          </w:p>
          <w:p w14:paraId="1B4C86A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标准</w:t>
            </w:r>
          </w:p>
          <w:p w14:paraId="43C93CD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4F03C5C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投标报价</w:t>
            </w:r>
          </w:p>
        </w:tc>
        <w:tc>
          <w:tcPr>
            <w:tcW w:w="5471" w:type="dxa"/>
            <w:tcBorders>
              <w:right w:val="single" w:color="auto" w:sz="12" w:space="0"/>
            </w:tcBorders>
            <w:noWrap w:val="0"/>
            <w:vAlign w:val="center"/>
          </w:tcPr>
          <w:p w14:paraId="23193C63">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招标人设有招标控制价的，投标供应商的投标报价不得超过招标控制价</w:t>
            </w:r>
          </w:p>
        </w:tc>
      </w:tr>
      <w:tr w14:paraId="4B16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68DBCD07">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376" w:type="dxa"/>
            <w:vMerge w:val="continue"/>
            <w:tcBorders>
              <w:right w:val="single" w:color="auto" w:sz="12" w:space="0"/>
            </w:tcBorders>
            <w:noWrap w:val="0"/>
            <w:vAlign w:val="center"/>
          </w:tcPr>
          <w:p w14:paraId="7583768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830" w:type="dxa"/>
            <w:tcBorders>
              <w:right w:val="single" w:color="auto" w:sz="12" w:space="0"/>
            </w:tcBorders>
            <w:noWrap w:val="0"/>
            <w:vAlign w:val="center"/>
          </w:tcPr>
          <w:p w14:paraId="74566467">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交货期</w:t>
            </w:r>
          </w:p>
        </w:tc>
        <w:tc>
          <w:tcPr>
            <w:tcW w:w="5471" w:type="dxa"/>
            <w:tcBorders>
              <w:right w:val="single" w:color="auto" w:sz="12" w:space="0"/>
            </w:tcBorders>
            <w:noWrap w:val="0"/>
            <w:vAlign w:val="center"/>
          </w:tcPr>
          <w:p w14:paraId="5858578F">
            <w:pPr>
              <w:keepNext w:val="0"/>
              <w:keepLines w:val="0"/>
              <w:pageBreakBefore w:val="0"/>
              <w:widowControl w:val="0"/>
              <w:kinsoku/>
              <w:wordWrap/>
              <w:overflowPunct/>
              <w:topLinePunct w:val="0"/>
              <w:bidi w:val="0"/>
              <w:spacing w:line="360" w:lineRule="exact"/>
              <w:jc w:val="both"/>
              <w:textAlignment w:val="auto"/>
              <w:rPr>
                <w:rFonts w:ascii="仿宋" w:hAnsi="仿宋" w:eastAsia="仿宋" w:cs="仿宋"/>
                <w:sz w:val="24"/>
                <w:szCs w:val="24"/>
              </w:rPr>
            </w:pPr>
            <w:r>
              <w:rPr>
                <w:rFonts w:hint="eastAsia" w:ascii="仿宋" w:hAnsi="仿宋" w:eastAsia="仿宋" w:cs="仿宋"/>
                <w:sz w:val="24"/>
                <w:szCs w:val="24"/>
              </w:rPr>
              <w:t>合同签订后</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个工作日内安装调试完毕并交付使用。</w:t>
            </w:r>
          </w:p>
        </w:tc>
      </w:tr>
    </w:tbl>
    <w:p w14:paraId="31BC744B">
      <w:pPr>
        <w:pStyle w:val="3"/>
        <w:numPr>
          <w:ilvl w:val="0"/>
          <w:numId w:val="0"/>
        </w:numPr>
        <w:spacing w:line="360" w:lineRule="auto"/>
        <w:rPr>
          <w:rFonts w:hint="eastAsia" w:ascii="仿宋" w:hAnsi="仿宋" w:eastAsia="仿宋" w:cs="仿宋"/>
          <w:b/>
          <w:bCs/>
          <w:kern w:val="0"/>
          <w:sz w:val="24"/>
          <w:szCs w:val="24"/>
          <w:lang w:val="en-US" w:eastAsia="zh-CN" w:bidi="ar-SA"/>
        </w:rPr>
      </w:pPr>
    </w:p>
    <w:p w14:paraId="01ABC310">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6D3103C7">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2D13B48C">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708EA18E">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3A9C59F3">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56C63834">
      <w:pPr>
        <w:pStyle w:val="3"/>
        <w:numPr>
          <w:ilvl w:val="0"/>
          <w:numId w:val="0"/>
        </w:numPr>
        <w:spacing w:line="360" w:lineRule="auto"/>
        <w:jc w:val="both"/>
        <w:rPr>
          <w:rFonts w:hint="eastAsia" w:ascii="宋体" w:hAnsi="宋体" w:eastAsia="宋体" w:cs="宋体"/>
          <w:b/>
          <w:bCs/>
          <w:kern w:val="0"/>
          <w:sz w:val="44"/>
          <w:szCs w:val="44"/>
          <w:lang w:val="en-US" w:eastAsia="zh-CN" w:bidi="ar-SA"/>
        </w:rPr>
      </w:pPr>
    </w:p>
    <w:p w14:paraId="0F7D0146">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4DDFB1F0">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311F5061">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601BF651">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61AD2F52">
      <w:pPr>
        <w:pStyle w:val="3"/>
        <w:numPr>
          <w:ilvl w:val="0"/>
          <w:numId w:val="0"/>
        </w:numPr>
        <w:spacing w:line="360" w:lineRule="auto"/>
        <w:jc w:val="center"/>
        <w:rPr>
          <w:rFonts w:hint="eastAsia" w:ascii="宋体" w:hAnsi="宋体" w:eastAsia="宋体" w:cs="宋体"/>
          <w:b/>
          <w:bCs/>
          <w:kern w:val="0"/>
          <w:sz w:val="44"/>
          <w:szCs w:val="44"/>
          <w:lang w:val="en-US" w:eastAsia="zh-CN" w:bidi="ar-SA"/>
        </w:rPr>
      </w:pPr>
    </w:p>
    <w:p w14:paraId="5CBC62C4">
      <w:pPr>
        <w:pStyle w:val="3"/>
        <w:numPr>
          <w:ilvl w:val="0"/>
          <w:numId w:val="0"/>
        </w:numPr>
        <w:spacing w:line="360" w:lineRule="auto"/>
        <w:jc w:val="center"/>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SA"/>
        </w:rPr>
        <w:t xml:space="preserve">第四章  </w:t>
      </w:r>
      <w:r>
        <w:rPr>
          <w:rFonts w:hint="eastAsia" w:ascii="宋体" w:hAnsi="宋体" w:eastAsia="宋体" w:cs="宋体"/>
          <w:b/>
          <w:bCs/>
          <w:sz w:val="44"/>
          <w:szCs w:val="44"/>
        </w:rPr>
        <w:t>技术参数说明</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7587"/>
      </w:tblGrid>
      <w:tr w14:paraId="4A1B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vAlign w:val="center"/>
          </w:tcPr>
          <w:p w14:paraId="7473C42E">
            <w:pPr>
              <w:jc w:val="center"/>
              <w:rPr>
                <w:rFonts w:hint="eastAsia" w:ascii="仿宋" w:hAnsi="仿宋" w:eastAsia="仿宋" w:cs="仿宋"/>
                <w:sz w:val="24"/>
                <w:szCs w:val="24"/>
                <w:vertAlign w:val="baseline"/>
              </w:rPr>
            </w:pPr>
            <w:r>
              <w:rPr>
                <w:rFonts w:hint="eastAsia" w:ascii="仿宋" w:hAnsi="仿宋" w:eastAsia="仿宋" w:cs="仿宋"/>
                <w:sz w:val="24"/>
                <w:szCs w:val="24"/>
                <w:vertAlign w:val="baseline"/>
              </w:rPr>
              <w:t>电动起立床技术参数</w:t>
            </w:r>
          </w:p>
        </w:tc>
        <w:tc>
          <w:tcPr>
            <w:tcW w:w="7587" w:type="dxa"/>
          </w:tcPr>
          <w:p w14:paraId="2667E7AA">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1.使用电源：220V，≥50Hz：</w:t>
            </w:r>
          </w:p>
          <w:p w14:paraId="35031820">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2.起立床床体尺寸：1825mm×770mm×450mm（最低位置，含床垫），各维度允差±50mm；</w:t>
            </w:r>
          </w:p>
          <w:p w14:paraId="41E84D02">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3.床板垂直升降倾斜角度连续可调，且最大角度85°，允差-5°；</w:t>
            </w:r>
          </w:p>
          <w:p w14:paraId="312D2F3F">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4.扶手板到床板的距离，及扶手板到床首、床尾距离可调。</w:t>
            </w:r>
          </w:p>
          <w:p w14:paraId="70ED163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5.踏板上下倾角、内外翻倾角可调节；</w:t>
            </w:r>
          </w:p>
          <w:p w14:paraId="7703DB32">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6.安全工作载荷：</w:t>
            </w:r>
          </w:p>
          <w:p w14:paraId="5D98CCF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(1)床板的安全工作载荷≥1700N；</w:t>
            </w:r>
          </w:p>
          <w:p w14:paraId="4CCE8D10">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(2)升降架安全工作载荷≥2200N；</w:t>
            </w:r>
          </w:p>
          <w:p w14:paraId="32D9F3CB">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(3)脚踏板安全工作载荷≥1500N；</w:t>
            </w:r>
          </w:p>
          <w:p w14:paraId="422C8066">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(4)扶手板垂直安全工作载荷≥750N，水平安全工作载荷≥500N；</w:t>
            </w:r>
          </w:p>
          <w:p w14:paraId="0BBA624E">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(5)固定带安全工作载荷≥500N；</w:t>
            </w:r>
          </w:p>
          <w:p w14:paraId="520485FC">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7.手持控制器可调节床体角度；</w:t>
            </w:r>
          </w:p>
        </w:tc>
      </w:tr>
      <w:tr w14:paraId="44DA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vAlign w:val="center"/>
          </w:tcPr>
          <w:p w14:paraId="66869327">
            <w:pPr>
              <w:spacing w:before="120" w:beforeLines="50" w:after="120" w:afterLines="50" w:line="288" w:lineRule="auto"/>
              <w:jc w:val="center"/>
              <w:rPr>
                <w:rFonts w:hint="eastAsia" w:ascii="仿宋" w:hAnsi="仿宋" w:eastAsia="仿宋" w:cs="仿宋"/>
                <w:sz w:val="24"/>
                <w:szCs w:val="24"/>
              </w:rPr>
            </w:pPr>
            <w:r>
              <w:rPr>
                <w:rFonts w:hint="eastAsia" w:ascii="仿宋" w:hAnsi="仿宋" w:eastAsia="仿宋" w:cs="仿宋"/>
                <w:sz w:val="24"/>
                <w:szCs w:val="24"/>
              </w:rPr>
              <w:t>电脑中频疗仪技术参数</w:t>
            </w:r>
          </w:p>
          <w:p w14:paraId="3E99919E">
            <w:pPr>
              <w:jc w:val="center"/>
              <w:rPr>
                <w:rFonts w:hint="eastAsia" w:ascii="仿宋" w:hAnsi="仿宋" w:eastAsia="仿宋" w:cs="仿宋"/>
                <w:sz w:val="24"/>
                <w:szCs w:val="24"/>
                <w:vertAlign w:val="baseline"/>
              </w:rPr>
            </w:pPr>
          </w:p>
        </w:tc>
        <w:tc>
          <w:tcPr>
            <w:tcW w:w="7587" w:type="dxa"/>
          </w:tcPr>
          <w:p w14:paraId="342AE5AB">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1.柜式一体机、液晶显示，中文菜单操作，可同时显示四路通道输出的治疗剂量、治疗波形、治疗处方、治疗时间。</w:t>
            </w:r>
          </w:p>
          <w:p w14:paraId="0A6F1F95">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2.输出通道：至少四路中频电疗法，至少含二组干扰电疗法.</w:t>
            </w:r>
          </w:p>
          <w:p w14:paraId="250DD9D0">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3.具有透热功能,导电橡胶最大透热温度≤60℃，至少六档可调；</w:t>
            </w:r>
          </w:p>
          <w:p w14:paraId="37F96EF7">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4.内存处方个数≥90，能覆盖常见病治疗；</w:t>
            </w:r>
          </w:p>
          <w:p w14:paraId="1499C74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5.中频频率：2～10KHz；</w:t>
            </w:r>
          </w:p>
          <w:p w14:paraId="5F2DA0A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6.调制频率：0～150Hz；</w:t>
            </w:r>
          </w:p>
          <w:p w14:paraId="684630C6">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7.调制波形：方波、尖波、三角波、锯齿波、指数波、正弦波、梯形波、扇形波和脉冲波及他们之间的组合。</w:t>
            </w:r>
          </w:p>
          <w:p w14:paraId="76C30C30">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8.调制方式：调制方式为调幅，可连续调制、变频调制、断续调制；</w:t>
            </w:r>
          </w:p>
          <w:p w14:paraId="2D5ECA5C">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9.输出电流稳定度：电疗仪在不同负载下的输出电流变化率应不大于10%。</w:t>
            </w:r>
          </w:p>
          <w:p w14:paraId="25D4CEEC">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10.调幅度：电疗仪的调幅度为0%、25%、50%、75%，100%，允差±5%。</w:t>
            </w:r>
          </w:p>
          <w:p w14:paraId="078B249D">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11.差频频率范围：干扰电差频频率应在0～200Hz范围内。</w:t>
            </w:r>
          </w:p>
          <w:p w14:paraId="79E061DC">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12.动态节律：干扰电动态节律为4s～10s范围内。</w:t>
            </w:r>
          </w:p>
          <w:p w14:paraId="36808708">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13.差频变化周期：干扰电差频变化周期为15s～30s。</w:t>
            </w:r>
          </w:p>
          <w:p w14:paraId="6CD25349">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14.定时装置：电疗仪具有定时装置，允差±5%。</w:t>
            </w:r>
          </w:p>
          <w:p w14:paraId="022366F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15.连续工作时间：治疗仪连续工作时间应能≥4h。</w:t>
            </w:r>
          </w:p>
          <w:p w14:paraId="6B4AFBE4">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16.噪声：电疗仪工作时，其噪声应不大于60dB。</w:t>
            </w:r>
          </w:p>
          <w:p w14:paraId="75CE4459">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17.输入功率：≥160VA ；</w:t>
            </w:r>
          </w:p>
          <w:p w14:paraId="7799A851">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18.输出电流：电疗仪纯交流波形，最大输出不大于100 mA；含直流分量时，输出电流不大于80mA；（负载电阻为500欧姆）输出电流为连续递增/递减调节，每档递增/减量为1mA；</w:t>
            </w:r>
          </w:p>
          <w:p w14:paraId="739E4795">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19.输出方式：双向波（AC-中频电疗模式）及单向波（DC-离子导入模式）；</w:t>
            </w:r>
          </w:p>
          <w:p w14:paraId="5B04A7AE">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vertAlign w:val="baseline"/>
              </w:rPr>
              <w:t>20.工作电压：交流220V±10%；50Hz±1Hz。</w:t>
            </w:r>
          </w:p>
        </w:tc>
      </w:tr>
      <w:tr w14:paraId="7EB6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vAlign w:val="center"/>
          </w:tcPr>
          <w:p w14:paraId="38F8A7E4">
            <w:pPr>
              <w:spacing w:before="164" w:line="220" w:lineRule="auto"/>
              <w:jc w:val="center"/>
              <w:outlineLvl w:val="0"/>
              <w:rPr>
                <w:rFonts w:hint="eastAsia" w:ascii="仿宋" w:hAnsi="仿宋" w:eastAsia="仿宋" w:cs="仿宋"/>
                <w:bCs/>
                <w:spacing w:val="-7"/>
                <w:sz w:val="24"/>
                <w:szCs w:val="24"/>
              </w:rPr>
            </w:pPr>
            <w:r>
              <w:rPr>
                <w:rFonts w:hint="eastAsia" w:ascii="仿宋" w:hAnsi="仿宋" w:eastAsia="仿宋" w:cs="仿宋"/>
                <w:bCs/>
                <w:sz w:val="24"/>
                <w:szCs w:val="24"/>
              </w:rPr>
              <w:t>中医定向透药治疗仪</w:t>
            </w:r>
            <w:r>
              <w:rPr>
                <w:rFonts w:hint="eastAsia" w:ascii="仿宋" w:hAnsi="仿宋" w:eastAsia="仿宋" w:cs="仿宋"/>
                <w:bCs/>
                <w:spacing w:val="-7"/>
                <w:sz w:val="24"/>
                <w:szCs w:val="24"/>
              </w:rPr>
              <w:t>技术参数</w:t>
            </w:r>
          </w:p>
          <w:p w14:paraId="32DDF0FC">
            <w:pPr>
              <w:jc w:val="center"/>
              <w:rPr>
                <w:rFonts w:hint="eastAsia" w:ascii="仿宋" w:hAnsi="仿宋" w:eastAsia="仿宋" w:cs="仿宋"/>
                <w:sz w:val="24"/>
                <w:szCs w:val="24"/>
                <w:vertAlign w:val="baseline"/>
              </w:rPr>
            </w:pPr>
          </w:p>
        </w:tc>
        <w:tc>
          <w:tcPr>
            <w:tcW w:w="7587" w:type="dxa"/>
          </w:tcPr>
          <w:p w14:paraId="5BF6CE73">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*输出频率：低频脉冲频率：1-440Hz，中频调制频率：1250-4000Hz;</w:t>
            </w:r>
          </w:p>
          <w:p w14:paraId="5FE391B5">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工作电源：AC220V，≥50HZ;</w:t>
            </w:r>
          </w:p>
          <w:p w14:paraId="7BEE2B46">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输入功率：2通道100VA,1通道50VA;</w:t>
            </w:r>
          </w:p>
          <w:p w14:paraId="22C7F356">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主机保险：T2AL250V;</w:t>
            </w:r>
          </w:p>
          <w:p w14:paraId="10161BE1">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输出电流：0-100MA;</w:t>
            </w:r>
          </w:p>
          <w:p w14:paraId="23F53CF8">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输出强度调节：0-99 共100级步进调节</w:t>
            </w:r>
          </w:p>
          <w:p w14:paraId="2D524E0E">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定时时间：任意预制0-60分钟。</w:t>
            </w:r>
          </w:p>
          <w:p w14:paraId="61E3C680">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 xml:space="preserve">热疗温度：≤60度, 0-5步进调节; </w:t>
            </w:r>
          </w:p>
          <w:p w14:paraId="4C3DD7D0">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*输出波形：低频方波脉宽调制式中频脉冲；</w:t>
            </w:r>
          </w:p>
          <w:p w14:paraId="66E188F6">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10.</w:t>
            </w:r>
            <w:r>
              <w:rPr>
                <w:rFonts w:hint="eastAsia" w:ascii="仿宋" w:hAnsi="仿宋" w:eastAsia="仿宋" w:cs="仿宋"/>
                <w:sz w:val="24"/>
                <w:szCs w:val="24"/>
              </w:rPr>
              <w:t>*双重隔离、开机保护、短路保护、声光提示多重保护功能；</w:t>
            </w:r>
          </w:p>
          <w:p w14:paraId="14D361CF">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11.</w:t>
            </w:r>
            <w:r>
              <w:rPr>
                <w:rFonts w:hint="eastAsia" w:ascii="仿宋" w:hAnsi="仿宋" w:eastAsia="仿宋" w:cs="仿宋"/>
                <w:sz w:val="24"/>
                <w:szCs w:val="24"/>
              </w:rPr>
              <w:t>输出通道：</w:t>
            </w:r>
            <w:r>
              <w:rPr>
                <w:rFonts w:hint="eastAsia" w:ascii="仿宋" w:hAnsi="仿宋" w:eastAsia="仿宋" w:cs="仿宋"/>
                <w:sz w:val="24"/>
                <w:szCs w:val="24"/>
                <w:lang w:eastAsia="zh-CN"/>
              </w:rPr>
              <w:t>至少</w:t>
            </w:r>
            <w:r>
              <w:rPr>
                <w:rFonts w:hint="eastAsia" w:ascii="仿宋" w:hAnsi="仿宋" w:eastAsia="仿宋" w:cs="仿宋"/>
                <w:sz w:val="24"/>
                <w:szCs w:val="24"/>
              </w:rPr>
              <w:t>2通道，每个通道输出可单独控制时间，部位和强度；</w:t>
            </w:r>
          </w:p>
          <w:p w14:paraId="69B7FC2E">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12.</w:t>
            </w:r>
            <w:r>
              <w:rPr>
                <w:rFonts w:hint="eastAsia" w:ascii="仿宋" w:hAnsi="仿宋" w:eastAsia="仿宋" w:cs="仿宋"/>
                <w:sz w:val="24"/>
                <w:szCs w:val="24"/>
              </w:rPr>
              <w:t>显示方式：数码显示输出时间，强度档位，热度档位等信息；</w:t>
            </w:r>
          </w:p>
          <w:p w14:paraId="3A7B6193">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运行模式：连续运行；</w:t>
            </w:r>
          </w:p>
          <w:p w14:paraId="641A9C7C">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14.</w:t>
            </w:r>
            <w:r>
              <w:rPr>
                <w:rFonts w:hint="eastAsia" w:ascii="仿宋" w:hAnsi="仿宋" w:eastAsia="仿宋" w:cs="仿宋"/>
                <w:sz w:val="24"/>
                <w:szCs w:val="24"/>
              </w:rPr>
              <w:t>输出在最大值，开路工作10min,短路工作5min后，其性能不减弱；</w:t>
            </w:r>
          </w:p>
          <w:p w14:paraId="570F4A23">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*单个脉冲输出的最大能量不超过300mJ；</w:t>
            </w:r>
          </w:p>
          <w:p w14:paraId="2B8A4976">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16.</w:t>
            </w:r>
            <w:r>
              <w:rPr>
                <w:rFonts w:hint="eastAsia" w:ascii="仿宋" w:hAnsi="仿宋" w:eastAsia="仿宋" w:cs="仿宋"/>
                <w:sz w:val="24"/>
                <w:szCs w:val="24"/>
              </w:rPr>
              <w:t>开路测试时，输出峰值电压不超过500V；</w:t>
            </w:r>
          </w:p>
          <w:p w14:paraId="0D5C7AD9">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17.</w:t>
            </w:r>
            <w:r>
              <w:rPr>
                <w:rFonts w:hint="eastAsia" w:ascii="仿宋" w:hAnsi="仿宋" w:eastAsia="仿宋" w:cs="仿宋"/>
                <w:sz w:val="24"/>
                <w:szCs w:val="24"/>
              </w:rPr>
              <w:t>当电源电压在±10%内波动时，仪器的输出幅度，脉冲宽度，或脉冲重复频率不大于10%；</w:t>
            </w:r>
          </w:p>
          <w:p w14:paraId="4058966F">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18.</w:t>
            </w:r>
            <w:r>
              <w:rPr>
                <w:rFonts w:hint="eastAsia" w:ascii="仿宋" w:hAnsi="仿宋" w:eastAsia="仿宋" w:cs="仿宋"/>
                <w:sz w:val="24"/>
                <w:szCs w:val="24"/>
              </w:rPr>
              <w:t>在范围内误差不超过10%的负载电阻进行测量时，仪器的脉冲宽度，脉冲重复频率，输出幅度，包括直流分量的偏差不得超过±20%；</w:t>
            </w:r>
          </w:p>
          <w:p w14:paraId="1562B3C5">
            <w:pPr>
              <w:ind w:firstLine="480" w:firstLineChars="200"/>
              <w:rPr>
                <w:rFonts w:hint="eastAsia" w:ascii="仿宋" w:hAnsi="仿宋" w:eastAsia="仿宋" w:cs="仿宋"/>
                <w:sz w:val="24"/>
                <w:szCs w:val="24"/>
                <w:vertAlign w:val="baseline"/>
              </w:rPr>
            </w:pPr>
            <w:r>
              <w:rPr>
                <w:rFonts w:hint="eastAsia" w:ascii="仿宋" w:hAnsi="仿宋" w:eastAsia="仿宋" w:cs="仿宋"/>
                <w:sz w:val="24"/>
                <w:szCs w:val="24"/>
                <w:lang w:val="en-US" w:eastAsia="zh-CN"/>
              </w:rPr>
              <w:t>19.</w:t>
            </w:r>
            <w:r>
              <w:rPr>
                <w:rFonts w:hint="eastAsia" w:ascii="仿宋" w:hAnsi="仿宋" w:eastAsia="仿宋" w:cs="仿宋"/>
                <w:sz w:val="24"/>
                <w:szCs w:val="24"/>
              </w:rPr>
              <w:t>智能化安全操作控制系统设计：当仪器错误操作或重新开启或者模式切换时，仪器自动将输出幅度控制调节至最小位置；</w:t>
            </w:r>
          </w:p>
        </w:tc>
      </w:tr>
      <w:tr w14:paraId="2448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 w:type="dxa"/>
            <w:vAlign w:val="center"/>
          </w:tcPr>
          <w:p w14:paraId="756A32CA">
            <w:pPr>
              <w:jc w:val="center"/>
              <w:rPr>
                <w:rFonts w:hint="eastAsia" w:ascii="仿宋" w:hAnsi="仿宋" w:eastAsia="仿宋" w:cs="仿宋"/>
                <w:sz w:val="24"/>
                <w:szCs w:val="24"/>
                <w:vertAlign w:val="baseline"/>
              </w:rPr>
            </w:pPr>
            <w:r>
              <w:rPr>
                <w:rFonts w:hint="eastAsia" w:ascii="仿宋" w:hAnsi="仿宋" w:eastAsia="仿宋" w:cs="仿宋"/>
                <w:b w:val="0"/>
                <w:bCs w:val="0"/>
                <w:sz w:val="24"/>
                <w:szCs w:val="24"/>
              </w:rPr>
              <w:t>上下肢主被动康复训练系统技术参数</w:t>
            </w:r>
          </w:p>
        </w:tc>
        <w:tc>
          <w:tcPr>
            <w:tcW w:w="7587" w:type="dxa"/>
          </w:tcPr>
          <w:p w14:paraId="3F3ED997">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具有面部识别功能，便捷操作使用；</w:t>
            </w:r>
          </w:p>
          <w:p w14:paraId="5FF459E0">
            <w:pPr>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w:t>
            </w:r>
            <w:r>
              <w:rPr>
                <w:rFonts w:hint="eastAsia" w:ascii="仿宋" w:hAnsi="仿宋" w:eastAsia="仿宋" w:cs="仿宋"/>
                <w:sz w:val="24"/>
                <w:szCs w:val="24"/>
              </w:rPr>
              <w:t>具有电动升降调节功能，自动升降调节高度，减少肩部不适，升降量程0-150mm,  升降速度≤8mm/s；</w:t>
            </w:r>
          </w:p>
          <w:p w14:paraId="187C5FD7">
            <w:pPr>
              <w:ind w:firstLine="48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val="en-US" w:eastAsia="zh-CN"/>
              </w:rPr>
              <w:t>.</w:t>
            </w:r>
            <w:r>
              <w:rPr>
                <w:rFonts w:hint="eastAsia" w:ascii="仿宋" w:hAnsi="仿宋" w:eastAsia="仿宋" w:cs="仿宋"/>
                <w:sz w:val="24"/>
                <w:szCs w:val="24"/>
              </w:rPr>
              <w:t>支持单侧限制模式，可限制健侧发力，鼓励患侧训练；</w:t>
            </w:r>
          </w:p>
          <w:p w14:paraId="59B42EF2">
            <w:pPr>
              <w:ind w:firstLine="48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val="en-US" w:eastAsia="zh-CN"/>
              </w:rPr>
              <w:t>.</w:t>
            </w:r>
            <w:r>
              <w:rPr>
                <w:rFonts w:hint="eastAsia" w:ascii="仿宋" w:hAnsi="仿宋" w:eastAsia="仿宋" w:cs="仿宋"/>
                <w:sz w:val="24"/>
                <w:szCs w:val="24"/>
              </w:rPr>
              <w:t>具有进行上肢/下肢评估功能，评估结束生成评估报告；</w:t>
            </w:r>
          </w:p>
          <w:p w14:paraId="48790ADB">
            <w:pPr>
              <w:ind w:firstLine="48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w:t>
            </w:r>
            <w:r>
              <w:rPr>
                <w:rFonts w:hint="eastAsia" w:ascii="仿宋" w:hAnsi="仿宋" w:eastAsia="仿宋" w:cs="仿宋"/>
                <w:sz w:val="24"/>
                <w:szCs w:val="24"/>
              </w:rPr>
              <w:t>支持上肢、下肢和上下肢训练方式；</w:t>
            </w:r>
          </w:p>
          <w:p w14:paraId="2BBA8E6B">
            <w:pPr>
              <w:ind w:firstLine="48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w:t>
            </w:r>
            <w:r>
              <w:rPr>
                <w:rFonts w:hint="eastAsia" w:ascii="仿宋" w:hAnsi="仿宋" w:eastAsia="仿宋" w:cs="仿宋"/>
                <w:sz w:val="24"/>
                <w:szCs w:val="24"/>
              </w:rPr>
              <w:t>具有被动、助力、主动和混合四种训练模式及等速功能；</w:t>
            </w:r>
          </w:p>
          <w:p w14:paraId="72013FD6">
            <w:pPr>
              <w:ind w:firstLine="480" w:firstLineChars="200"/>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val="en-US" w:eastAsia="zh-CN"/>
              </w:rPr>
              <w:t>.</w:t>
            </w:r>
            <w:r>
              <w:rPr>
                <w:rFonts w:hint="eastAsia" w:ascii="仿宋" w:hAnsi="仿宋" w:eastAsia="仿宋" w:cs="仿宋"/>
                <w:sz w:val="24"/>
                <w:szCs w:val="24"/>
              </w:rPr>
              <w:t>可分别设置被动速度、助力等级和阻力等级；被动模式下设备运行转速范围5~60r/min可调，助力模式下助力设定范围≥10档位可调，阻力模式下阻力设定范围≥10档位可调；</w:t>
            </w:r>
          </w:p>
          <w:p w14:paraId="06A4D296">
            <w:pPr>
              <w:ind w:firstLine="480" w:firstLineChars="200"/>
              <w:rPr>
                <w:rFonts w:hint="eastAsia" w:ascii="仿宋" w:hAnsi="仿宋" w:eastAsia="仿宋" w:cs="仿宋"/>
                <w:sz w:val="24"/>
                <w:szCs w:val="24"/>
              </w:rPr>
            </w:pPr>
            <w:r>
              <w:rPr>
                <w:rFonts w:hint="eastAsia" w:ascii="仿宋" w:hAnsi="仿宋" w:eastAsia="仿宋" w:cs="仿宋"/>
                <w:sz w:val="24"/>
                <w:szCs w:val="24"/>
              </w:rPr>
              <w:t>8</w:t>
            </w:r>
            <w:r>
              <w:rPr>
                <w:rFonts w:hint="eastAsia" w:ascii="仿宋" w:hAnsi="仿宋" w:eastAsia="仿宋" w:cs="仿宋"/>
                <w:sz w:val="24"/>
                <w:szCs w:val="24"/>
                <w:lang w:val="en-US" w:eastAsia="zh-CN"/>
              </w:rPr>
              <w:t>.</w:t>
            </w:r>
            <w:r>
              <w:rPr>
                <w:rFonts w:hint="eastAsia" w:ascii="仿宋" w:hAnsi="仿宋" w:eastAsia="仿宋" w:cs="仿宋"/>
                <w:sz w:val="24"/>
                <w:szCs w:val="24"/>
              </w:rPr>
              <w:t>训练时间可调，设定范围1-120min,步进可调，到达设置时间后自动切断输出；</w:t>
            </w:r>
          </w:p>
          <w:p w14:paraId="6FC4C511">
            <w:pPr>
              <w:ind w:firstLine="480" w:firstLineChars="200"/>
              <w:rPr>
                <w:rFonts w:hint="eastAsia" w:ascii="仿宋" w:hAnsi="仿宋" w:eastAsia="仿宋" w:cs="仿宋"/>
                <w:sz w:val="24"/>
                <w:szCs w:val="24"/>
              </w:rPr>
            </w:pPr>
            <w:r>
              <w:rPr>
                <w:rFonts w:hint="eastAsia" w:ascii="仿宋" w:hAnsi="仿宋" w:eastAsia="仿宋" w:cs="仿宋"/>
                <w:sz w:val="24"/>
                <w:szCs w:val="24"/>
              </w:rPr>
              <w:t>9</w:t>
            </w:r>
            <w:r>
              <w:rPr>
                <w:rFonts w:hint="eastAsia" w:ascii="仿宋" w:hAnsi="仿宋" w:eastAsia="仿宋" w:cs="仿宋"/>
                <w:sz w:val="24"/>
                <w:szCs w:val="24"/>
                <w:lang w:val="en-US" w:eastAsia="zh-CN"/>
              </w:rPr>
              <w:t>.</w:t>
            </w:r>
            <w:r>
              <w:rPr>
                <w:rFonts w:hint="eastAsia" w:ascii="仿宋" w:hAnsi="仿宋" w:eastAsia="仿宋" w:cs="仿宋"/>
                <w:sz w:val="24"/>
                <w:szCs w:val="24"/>
              </w:rPr>
              <w:t>具有上下肢协调训练，通过左右平衡控制改善患者左右的协调能力；通过健侧带动患侧，上肢带动下肢，一肢带动三肢改善上下肢协调；</w:t>
            </w:r>
          </w:p>
          <w:p w14:paraId="3897E550">
            <w:pPr>
              <w:ind w:firstLine="480" w:firstLineChars="200"/>
              <w:rPr>
                <w:rFonts w:hint="eastAsia" w:ascii="仿宋" w:hAnsi="仿宋" w:eastAsia="仿宋" w:cs="仿宋"/>
                <w:sz w:val="24"/>
                <w:szCs w:val="24"/>
              </w:rPr>
            </w:pPr>
            <w:r>
              <w:rPr>
                <w:rFonts w:hint="eastAsia" w:ascii="仿宋" w:hAnsi="仿宋" w:eastAsia="仿宋" w:cs="仿宋"/>
                <w:sz w:val="24"/>
                <w:szCs w:val="24"/>
              </w:rPr>
              <w:t>10</w:t>
            </w:r>
            <w:r>
              <w:rPr>
                <w:rFonts w:hint="eastAsia" w:ascii="仿宋" w:hAnsi="仿宋" w:eastAsia="仿宋" w:cs="仿宋"/>
                <w:sz w:val="24"/>
                <w:szCs w:val="24"/>
                <w:lang w:val="en-US" w:eastAsia="zh-CN"/>
              </w:rPr>
              <w:t>.</w:t>
            </w:r>
            <w:r>
              <w:rPr>
                <w:rFonts w:hint="eastAsia" w:ascii="仿宋" w:hAnsi="仿宋" w:eastAsia="仿宋" w:cs="仿宋"/>
                <w:sz w:val="24"/>
                <w:szCs w:val="24"/>
              </w:rPr>
              <w:t>≥21寸触摸大屏，内置高性能图型芯片和实时游戏引擎；</w:t>
            </w:r>
          </w:p>
          <w:p w14:paraId="78960B8A">
            <w:pPr>
              <w:ind w:firstLine="480" w:firstLineChars="200"/>
              <w:rPr>
                <w:rFonts w:hint="eastAsia" w:ascii="仿宋" w:hAnsi="仿宋" w:eastAsia="仿宋" w:cs="仿宋"/>
                <w:sz w:val="24"/>
                <w:szCs w:val="24"/>
              </w:rPr>
            </w:pPr>
            <w:r>
              <w:rPr>
                <w:rFonts w:hint="eastAsia" w:ascii="仿宋" w:hAnsi="仿宋" w:eastAsia="仿宋" w:cs="仿宋"/>
                <w:sz w:val="24"/>
                <w:szCs w:val="24"/>
              </w:rPr>
              <w:t>11</w:t>
            </w:r>
            <w:r>
              <w:rPr>
                <w:rFonts w:hint="eastAsia" w:ascii="仿宋" w:hAnsi="仿宋" w:eastAsia="仿宋" w:cs="仿宋"/>
                <w:sz w:val="24"/>
                <w:szCs w:val="24"/>
                <w:lang w:val="en-US" w:eastAsia="zh-CN"/>
              </w:rPr>
              <w:t>.</w:t>
            </w:r>
            <w:r>
              <w:rPr>
                <w:rFonts w:hint="eastAsia" w:ascii="仿宋" w:hAnsi="仿宋" w:eastAsia="仿宋" w:cs="仿宋"/>
                <w:sz w:val="24"/>
                <w:szCs w:val="24"/>
              </w:rPr>
              <w:t>痉挛灵敏度上下肢分别可调，</w:t>
            </w:r>
            <w:r>
              <w:rPr>
                <w:rFonts w:hint="eastAsia" w:ascii="仿宋" w:hAnsi="仿宋" w:eastAsia="仿宋" w:cs="仿宋"/>
                <w:sz w:val="24"/>
                <w:szCs w:val="24"/>
                <w:lang w:eastAsia="zh-CN"/>
              </w:rPr>
              <w:t>至少</w:t>
            </w:r>
            <w:r>
              <w:rPr>
                <w:rFonts w:hint="eastAsia" w:ascii="仿宋" w:hAnsi="仿宋" w:eastAsia="仿宋" w:cs="仿宋"/>
                <w:sz w:val="24"/>
                <w:szCs w:val="24"/>
              </w:rPr>
              <w:t>分高、中、低三档；</w:t>
            </w:r>
          </w:p>
          <w:p w14:paraId="5F23E132">
            <w:pPr>
              <w:ind w:firstLine="480" w:firstLineChars="200"/>
              <w:rPr>
                <w:rFonts w:hint="eastAsia" w:ascii="仿宋" w:hAnsi="仿宋" w:eastAsia="仿宋" w:cs="仿宋"/>
                <w:sz w:val="24"/>
                <w:szCs w:val="24"/>
              </w:rPr>
            </w:pPr>
            <w:r>
              <w:rPr>
                <w:rFonts w:hint="eastAsia" w:ascii="仿宋" w:hAnsi="仿宋" w:eastAsia="仿宋" w:cs="仿宋"/>
                <w:sz w:val="24"/>
                <w:szCs w:val="24"/>
              </w:rPr>
              <w:t>12</w:t>
            </w:r>
            <w:r>
              <w:rPr>
                <w:rFonts w:hint="eastAsia" w:ascii="仿宋" w:hAnsi="仿宋" w:eastAsia="仿宋" w:cs="仿宋"/>
                <w:sz w:val="24"/>
                <w:szCs w:val="24"/>
                <w:lang w:val="en-US" w:eastAsia="zh-CN"/>
              </w:rPr>
              <w:t>.</w:t>
            </w:r>
            <w:r>
              <w:rPr>
                <w:rFonts w:hint="eastAsia" w:ascii="仿宋" w:hAnsi="仿宋" w:eastAsia="仿宋" w:cs="仿宋"/>
                <w:sz w:val="24"/>
                <w:szCs w:val="24"/>
              </w:rPr>
              <w:t>能够智能探测痉挛并缓解痉挛，识别痉挛后自动反转，防止关节肌肉损伤；</w:t>
            </w:r>
          </w:p>
          <w:p w14:paraId="6CE7E448">
            <w:pPr>
              <w:ind w:firstLine="480" w:firstLineChars="200"/>
              <w:rPr>
                <w:rFonts w:hint="eastAsia" w:ascii="仿宋" w:hAnsi="仿宋" w:eastAsia="仿宋" w:cs="仿宋"/>
                <w:sz w:val="24"/>
                <w:szCs w:val="24"/>
              </w:rPr>
            </w:pPr>
            <w:r>
              <w:rPr>
                <w:rFonts w:hint="eastAsia" w:ascii="仿宋" w:hAnsi="仿宋" w:eastAsia="仿宋" w:cs="仿宋"/>
                <w:sz w:val="24"/>
                <w:szCs w:val="24"/>
              </w:rPr>
              <w:t>13</w:t>
            </w:r>
            <w:r>
              <w:rPr>
                <w:rFonts w:hint="eastAsia" w:ascii="仿宋" w:hAnsi="仿宋" w:eastAsia="仿宋" w:cs="仿宋"/>
                <w:sz w:val="24"/>
                <w:szCs w:val="24"/>
                <w:lang w:val="en-US" w:eastAsia="zh-CN"/>
              </w:rPr>
              <w:t>.</w:t>
            </w:r>
            <w:r>
              <w:rPr>
                <w:rFonts w:hint="eastAsia" w:ascii="仿宋" w:hAnsi="仿宋" w:eastAsia="仿宋" w:cs="仿宋"/>
                <w:sz w:val="24"/>
                <w:szCs w:val="24"/>
              </w:rPr>
              <w:t>具有训练方向改变功能和肌力对称性显示功能；</w:t>
            </w:r>
          </w:p>
          <w:p w14:paraId="5DDFFBEA">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4.</w:t>
            </w:r>
            <w:r>
              <w:rPr>
                <w:rFonts w:hint="eastAsia" w:ascii="仿宋" w:hAnsi="仿宋" w:eastAsia="仿宋" w:cs="仿宋"/>
                <w:sz w:val="24"/>
                <w:szCs w:val="24"/>
              </w:rPr>
              <w:t>支持游戏化训练功能，具有≥3种游戏场景，训练过程中实时显示训练信息；</w:t>
            </w:r>
          </w:p>
          <w:p w14:paraId="6DD3D868">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hint="eastAsia" w:ascii="仿宋" w:hAnsi="仿宋" w:eastAsia="仿宋" w:cs="仿宋"/>
                <w:sz w:val="24"/>
                <w:szCs w:val="24"/>
              </w:rPr>
              <w:t>具有开机自检、急停装置、痉挛保护、语音提示等功能；</w:t>
            </w:r>
          </w:p>
          <w:p w14:paraId="177761FF">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r>
              <w:rPr>
                <w:rFonts w:hint="eastAsia" w:ascii="仿宋" w:hAnsi="仿宋" w:eastAsia="仿宋" w:cs="仿宋"/>
                <w:sz w:val="24"/>
                <w:szCs w:val="24"/>
              </w:rPr>
              <w:t>设置急停装置，可手动触发急停装置开关，切断上下肢电机及升降电机动力输出；</w:t>
            </w:r>
          </w:p>
          <w:p w14:paraId="073E3181">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7.</w:t>
            </w:r>
            <w:r>
              <w:rPr>
                <w:rFonts w:hint="eastAsia" w:ascii="仿宋" w:hAnsi="仿宋" w:eastAsia="仿宋" w:cs="仿宋"/>
                <w:sz w:val="24"/>
                <w:szCs w:val="24"/>
              </w:rPr>
              <w:t>具有软件管理账号：包括工程师、医院管理员、治疗师账号三类角色，账户登录方式 可选账号密码方式</w:t>
            </w:r>
            <w:r>
              <w:rPr>
                <w:rFonts w:hint="eastAsia" w:ascii="仿宋" w:hAnsi="仿宋" w:eastAsia="仿宋" w:cs="仿宋"/>
                <w:sz w:val="24"/>
                <w:szCs w:val="24"/>
                <w:lang w:eastAsia="zh-CN"/>
              </w:rPr>
              <w:t>或</w:t>
            </w:r>
            <w:r>
              <w:rPr>
                <w:rFonts w:hint="eastAsia" w:ascii="仿宋" w:hAnsi="仿宋" w:eastAsia="仿宋" w:cs="仿宋"/>
                <w:sz w:val="24"/>
                <w:szCs w:val="24"/>
              </w:rPr>
              <w:t>面部识别方式；</w:t>
            </w:r>
          </w:p>
          <w:p w14:paraId="5DCA17DA">
            <w:pPr>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r>
              <w:rPr>
                <w:rFonts w:hint="eastAsia" w:ascii="仿宋" w:hAnsi="仿宋" w:eastAsia="仿宋" w:cs="仿宋"/>
                <w:sz w:val="24"/>
                <w:szCs w:val="24"/>
              </w:rPr>
              <w:t>支持查询、新建、修改、删除、导入导出病员信息，查看训练与评估记录，导出报告；</w:t>
            </w:r>
          </w:p>
          <w:p w14:paraId="2709222E">
            <w:p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19.</w:t>
            </w:r>
            <w:r>
              <w:rPr>
                <w:rFonts w:hint="eastAsia" w:ascii="仿宋" w:hAnsi="仿宋" w:eastAsia="仿宋" w:cs="仿宋"/>
                <w:sz w:val="24"/>
                <w:szCs w:val="24"/>
              </w:rPr>
              <w:t>具有设置院方信息、账号管理、设备自检、设备设置、设备日志、智能设置、网络设置、软件升级、本机统计、本机信息等功能；</w:t>
            </w:r>
          </w:p>
          <w:p w14:paraId="681D6B7E">
            <w:pPr>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0.</w:t>
            </w:r>
            <w:r>
              <w:rPr>
                <w:rFonts w:hint="eastAsia" w:ascii="仿宋" w:hAnsi="仿宋" w:eastAsia="仿宋" w:cs="仿宋"/>
                <w:sz w:val="24"/>
                <w:szCs w:val="24"/>
              </w:rPr>
              <w:t>具有云功能，支持病员信息上传，设备状态上报、日志上报、设备使用数据上报、报修。</w:t>
            </w:r>
          </w:p>
          <w:p w14:paraId="2078A09E">
            <w:pPr>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val="en-US" w:eastAsia="zh-CN"/>
              </w:rPr>
              <w:t>1.</w:t>
            </w:r>
            <w:r>
              <w:rPr>
                <w:rFonts w:hint="eastAsia" w:ascii="仿宋" w:hAnsi="仿宋" w:eastAsia="仿宋" w:cs="仿宋"/>
                <w:sz w:val="24"/>
                <w:szCs w:val="24"/>
              </w:rPr>
              <w:t>接口：网口：RJ-45接口，100M及兼容版本；物联网口：4G-LTE及兼容版本；USB口：USB2.0及兼容版本 ；</w:t>
            </w:r>
            <w:r>
              <w:rPr>
                <w:rFonts w:hint="eastAsia" w:ascii="仿宋" w:hAnsi="仿宋" w:eastAsia="仿宋" w:cs="仿宋"/>
                <w:sz w:val="24"/>
                <w:szCs w:val="24"/>
                <w:lang w:eastAsia="zh-CN"/>
              </w:rPr>
              <w:t>含</w:t>
            </w:r>
            <w:r>
              <w:rPr>
                <w:rFonts w:hint="eastAsia" w:ascii="仿宋" w:hAnsi="仿宋" w:eastAsia="仿宋" w:cs="仿宋"/>
                <w:sz w:val="24"/>
                <w:szCs w:val="24"/>
              </w:rPr>
              <w:t>HDMI接口：</w:t>
            </w:r>
          </w:p>
          <w:p w14:paraId="12A7428A">
            <w:pPr>
              <w:ind w:firstLine="480" w:firstLineChars="200"/>
              <w:rPr>
                <w:rFonts w:hint="eastAsia"/>
              </w:rPr>
            </w:pPr>
            <w:r>
              <w:rPr>
                <w:rFonts w:hint="eastAsia" w:ascii="仿宋" w:hAnsi="仿宋" w:eastAsia="仿宋" w:cs="仿宋"/>
                <w:sz w:val="24"/>
                <w:szCs w:val="24"/>
              </w:rPr>
              <w:t>2</w:t>
            </w:r>
            <w:r>
              <w:rPr>
                <w:rFonts w:hint="eastAsia" w:ascii="仿宋" w:hAnsi="仿宋" w:eastAsia="仿宋" w:cs="仿宋"/>
                <w:sz w:val="24"/>
                <w:szCs w:val="24"/>
                <w:lang w:val="en-US" w:eastAsia="zh-CN"/>
              </w:rPr>
              <w:t>2.</w:t>
            </w:r>
            <w:r>
              <w:rPr>
                <w:rFonts w:hint="eastAsia" w:ascii="仿宋" w:hAnsi="仿宋" w:eastAsia="仿宋" w:cs="仿宋"/>
                <w:sz w:val="24"/>
                <w:szCs w:val="24"/>
              </w:rPr>
              <w:t>硬件环境：CPU Arm ≥2.4GHz，内存≥8GB，显卡Mali-G610及以上，硬盘≥64G；</w:t>
            </w:r>
          </w:p>
        </w:tc>
      </w:tr>
    </w:tbl>
    <w:p w14:paraId="56C306A6"/>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9CF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BCB3">
    <w:pPr>
      <w:pStyle w:val="7"/>
    </w:pPr>
    <w:r>
      <w:rPr>
        <w:rFonts w:hint="eastAsia" w:eastAsia="宋体"/>
        <w:lang w:eastAsia="zh-CN"/>
      </w:rPr>
      <w:drawing>
        <wp:inline distT="0" distB="0" distL="114300" distR="114300">
          <wp:extent cx="3762375" cy="845820"/>
          <wp:effectExtent l="0" t="0" r="0" b="0"/>
          <wp:docPr id="1"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4"/>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
    <w:nsid w:val="64253DA1"/>
    <w:multiLevelType w:val="multilevel"/>
    <w:tmpl w:val="64253DA1"/>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C6BE0"/>
    <w:rsid w:val="23BB03CC"/>
    <w:rsid w:val="3D3E3679"/>
    <w:rsid w:val="3E464907"/>
    <w:rsid w:val="440B64A5"/>
    <w:rsid w:val="45B732AD"/>
    <w:rsid w:val="4E850579"/>
    <w:rsid w:val="520F5FFB"/>
    <w:rsid w:val="58E92835"/>
    <w:rsid w:val="59FC1602"/>
    <w:rsid w:val="5B543CB6"/>
    <w:rsid w:val="601C29FC"/>
    <w:rsid w:val="66990186"/>
    <w:rsid w:val="7E1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99"/>
    <w:pPr>
      <w:spacing w:after="120"/>
    </w:pPr>
    <w:rPr>
      <w:kern w:val="0"/>
      <w:szCs w:val="20"/>
    </w:rPr>
  </w:style>
  <w:style w:type="paragraph" w:styleId="4">
    <w:name w:val="Body Text Indent"/>
    <w:basedOn w:val="1"/>
    <w:qFormat/>
    <w:uiPriority w:val="0"/>
    <w:pPr>
      <w:spacing w:after="120" w:afterLines="0" w:afterAutospacing="0"/>
      <w:ind w:left="420" w:leftChars="200"/>
    </w:pPr>
  </w:style>
  <w:style w:type="paragraph" w:styleId="5">
    <w:name w:val="Plain Text"/>
    <w:basedOn w:val="1"/>
    <w:qFormat/>
    <w:uiPriority w:val="99"/>
    <w:rPr>
      <w:rFonts w:ascii="宋体" w:hAnsi="Courier New"/>
      <w:kern w:val="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qFormat/>
    <w:uiPriority w:val="99"/>
    <w:pPr>
      <w:spacing w:before="120" w:after="120"/>
      <w:jc w:val="left"/>
    </w:pPr>
    <w:rPr>
      <w:rFonts w:ascii="Calibri" w:hAnsi="Calibri" w:cs="Calibri"/>
      <w:b/>
      <w:bCs/>
      <w:caps/>
    </w:rPr>
  </w:style>
  <w:style w:type="paragraph" w:styleId="9">
    <w:name w:val="Body Text First Indent 2"/>
    <w:basedOn w:val="4"/>
    <w:qFormat/>
    <w:uiPriority w:val="0"/>
    <w:pPr>
      <w:ind w:firstLine="420" w:firstLineChars="200"/>
    </w:p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rFonts w:eastAsia="宋体" w:cs="Times New Roman"/>
      <w:color w:val="0000FF"/>
      <w:sz w:val="28"/>
      <w:u w:val="single"/>
    </w:rPr>
  </w:style>
  <w:style w:type="paragraph" w:customStyle="1" w:styleId="14">
    <w:name w:val="样式4"/>
    <w:basedOn w:val="1"/>
    <w:qFormat/>
    <w:uiPriority w:val="99"/>
    <w:pPr>
      <w:numPr>
        <w:ilvl w:val="3"/>
        <w:numId w:val="1"/>
      </w:numPr>
    </w:p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4016</Words>
  <Characters>4594</Characters>
  <Lines>0</Lines>
  <Paragraphs>0</Paragraphs>
  <TotalTime>9</TotalTime>
  <ScaleCrop>false</ScaleCrop>
  <LinksUpToDate>false</LinksUpToDate>
  <CharactersWithSpaces>4737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2026-08-10T01:41:00Z</dcterms:created>
  <dc:creator>Administrator</dc:creator>
  <cp:lastModifiedBy>Ulalalalalala</cp:lastModifiedBy>
  <dcterms:modified xsi:type="dcterms:W3CDTF">2026-08-21T07:53:19Z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eyJoZGlkIjoiNzMwNjM4Nzc0NWIxY2NiMzY1NjI1ZTQ5NTI2MTE5ZDUiLCJ1c2VySWQiOiIxMjcwNTMxNjIwIn0=</vt:lpwstr>
  </property>
  <property fmtid="{D5CDD505-2E9C-101B-9397-08002B2CF9AE}" pid="4" name="ICV">
    <vt:lpwstr>426C56ADE6F546A8AF9B688EB7B04B11_13</vt:lpwstr>
  </property>
</Properties>
</file>