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3FD2A7">
      <w:pPr>
        <w:jc w:val="center"/>
        <w:rPr>
          <w:rFonts w:hint="eastAsia" w:ascii="宋体" w:hAnsi="宋体" w:eastAsia="宋体" w:cs="宋体"/>
          <w:b/>
          <w:color w:val="000000"/>
          <w:sz w:val="84"/>
          <w:szCs w:val="84"/>
        </w:rPr>
      </w:pPr>
      <w:bookmarkStart w:id="12" w:name="_GoBack"/>
      <w:bookmarkEnd w:id="12"/>
      <w:r>
        <w:rPr>
          <w:rFonts w:hint="eastAsia" w:ascii="宋体" w:hAnsi="宋体" w:eastAsia="宋体" w:cs="宋体"/>
          <w:b/>
          <w:color w:val="000000"/>
          <w:sz w:val="84"/>
          <w:szCs w:val="84"/>
        </w:rPr>
        <w:t>怀化市第五人民医院</w:t>
      </w:r>
    </w:p>
    <w:p w14:paraId="4AFC6B75">
      <w:pPr>
        <w:jc w:val="center"/>
        <w:rPr>
          <w:rFonts w:hint="eastAsia" w:ascii="宋体" w:hAnsi="宋体" w:eastAsia="宋体" w:cs="宋体"/>
          <w:sz w:val="84"/>
          <w:szCs w:val="84"/>
        </w:rPr>
      </w:pPr>
      <w:r>
        <w:rPr>
          <w:rFonts w:hint="eastAsia" w:ascii="宋体" w:hAnsi="宋体" w:eastAsia="宋体" w:cs="宋体"/>
          <w:b/>
          <w:color w:val="000000"/>
          <w:sz w:val="84"/>
          <w:szCs w:val="84"/>
        </w:rPr>
        <w:t>招标文件</w:t>
      </w:r>
    </w:p>
    <w:p w14:paraId="577C61B6">
      <w:pPr>
        <w:pStyle w:val="2"/>
        <w:ind w:firstLine="452" w:firstLineChars="150"/>
        <w:jc w:val="center"/>
        <w:rPr>
          <w:rFonts w:ascii="仿宋" w:hAnsi="仿宋" w:eastAsia="仿宋" w:cs="仿宋"/>
          <w:b/>
          <w:sz w:val="30"/>
          <w:szCs w:val="30"/>
        </w:rPr>
      </w:pPr>
    </w:p>
    <w:p w14:paraId="1563732E">
      <w:pPr>
        <w:pStyle w:val="2"/>
        <w:jc w:val="both"/>
        <w:rPr>
          <w:rFonts w:ascii="仿宋" w:hAnsi="仿宋" w:eastAsia="仿宋" w:cs="仿宋"/>
          <w:b/>
          <w:sz w:val="30"/>
          <w:szCs w:val="30"/>
        </w:rPr>
      </w:pPr>
    </w:p>
    <w:p w14:paraId="2C3F1052">
      <w:pPr>
        <w:pStyle w:val="2"/>
        <w:ind w:firstLine="452" w:firstLineChars="150"/>
        <w:jc w:val="center"/>
        <w:rPr>
          <w:rFonts w:ascii="仿宋" w:hAnsi="仿宋" w:eastAsia="仿宋" w:cs="仿宋"/>
          <w:b/>
          <w:bCs w:val="0"/>
          <w:sz w:val="30"/>
          <w:szCs w:val="30"/>
        </w:rPr>
      </w:pPr>
    </w:p>
    <w:p w14:paraId="44A84082">
      <w:pPr>
        <w:keepNext w:val="0"/>
        <w:keepLines w:val="0"/>
        <w:pageBreakBefore w:val="0"/>
        <w:widowControl w:val="0"/>
        <w:kinsoku/>
        <w:wordWrap/>
        <w:overflowPunct/>
        <w:topLinePunct w:val="0"/>
        <w:autoSpaceDE/>
        <w:autoSpaceDN/>
        <w:bidi w:val="0"/>
        <w:spacing w:line="560" w:lineRule="exact"/>
        <w:jc w:val="both"/>
        <w:textAlignment w:val="auto"/>
        <w:rPr>
          <w:rFonts w:hint="eastAsia" w:ascii="仿宋" w:hAnsi="仿宋" w:eastAsia="仿宋" w:cs="仿宋"/>
          <w:b/>
          <w:bCs w:val="0"/>
          <w:color w:val="FF0000"/>
          <w:sz w:val="32"/>
          <w:szCs w:val="32"/>
          <w:lang w:val="en-US" w:eastAsia="zh-CN"/>
        </w:rPr>
      </w:pPr>
      <w:r>
        <w:rPr>
          <w:rFonts w:hint="eastAsia" w:ascii="仿宋" w:hAnsi="仿宋" w:eastAsia="仿宋" w:cs="仿宋"/>
          <w:b/>
          <w:bCs w:val="0"/>
          <w:sz w:val="32"/>
          <w:szCs w:val="32"/>
        </w:rPr>
        <w:t>采购项目名称：</w:t>
      </w:r>
      <w:r>
        <w:rPr>
          <w:rFonts w:hint="eastAsia" w:ascii="仿宋" w:hAnsi="仿宋" w:eastAsia="仿宋" w:cs="仿宋"/>
          <w:b/>
          <w:bCs w:val="0"/>
          <w:sz w:val="32"/>
          <w:szCs w:val="32"/>
          <w:lang w:eastAsia="zh-CN"/>
        </w:rPr>
        <w:t>怀化市第五人民医院</w:t>
      </w:r>
      <w:r>
        <w:rPr>
          <w:rFonts w:hint="eastAsia" w:ascii="仿宋" w:hAnsi="仿宋" w:eastAsia="仿宋" w:cs="仿宋"/>
          <w:b/>
          <w:bCs w:val="0"/>
          <w:color w:val="000000"/>
          <w:kern w:val="0"/>
          <w:sz w:val="32"/>
          <w:szCs w:val="32"/>
          <w:lang w:val="en-US" w:eastAsia="zh-CN"/>
        </w:rPr>
        <w:t>次氯酸发生器采购</w:t>
      </w:r>
    </w:p>
    <w:p w14:paraId="5CB6DCCA">
      <w:pPr>
        <w:pStyle w:val="4"/>
        <w:keepNext w:val="0"/>
        <w:keepLines w:val="0"/>
        <w:pageBreakBefore w:val="0"/>
        <w:widowControl w:val="0"/>
        <w:kinsoku/>
        <w:wordWrap/>
        <w:overflowPunct/>
        <w:topLinePunct w:val="0"/>
        <w:autoSpaceDE/>
        <w:autoSpaceDN/>
        <w:bidi w:val="0"/>
        <w:adjustRightInd w:val="0"/>
        <w:snapToGrid w:val="0"/>
        <w:spacing w:line="560" w:lineRule="exact"/>
        <w:ind w:left="2172" w:leftChars="0" w:hanging="2172" w:hangingChars="676"/>
        <w:jc w:val="center"/>
        <w:textAlignment w:val="auto"/>
        <w:rPr>
          <w:rFonts w:ascii="仿宋" w:hAnsi="仿宋" w:eastAsia="仿宋" w:cs="仿宋"/>
          <w:b/>
          <w:bCs w:val="0"/>
          <w:sz w:val="32"/>
          <w:szCs w:val="32"/>
        </w:rPr>
      </w:pPr>
    </w:p>
    <w:p w14:paraId="070056A6">
      <w:pPr>
        <w:pStyle w:val="4"/>
        <w:keepNext w:val="0"/>
        <w:keepLines w:val="0"/>
        <w:pageBreakBefore w:val="0"/>
        <w:widowControl w:val="0"/>
        <w:kinsoku/>
        <w:wordWrap/>
        <w:overflowPunct/>
        <w:topLinePunct w:val="0"/>
        <w:autoSpaceDE/>
        <w:autoSpaceDN/>
        <w:bidi w:val="0"/>
        <w:adjustRightInd w:val="0"/>
        <w:snapToGrid w:val="0"/>
        <w:spacing w:line="560" w:lineRule="exact"/>
        <w:ind w:left="0" w:leftChars="0"/>
        <w:jc w:val="left"/>
        <w:textAlignment w:val="auto"/>
        <w:rPr>
          <w:rFonts w:ascii="仿宋" w:hAnsi="仿宋" w:eastAsia="仿宋" w:cs="仿宋"/>
          <w:b/>
          <w:bCs w:val="0"/>
          <w:color w:val="FF0000"/>
          <w:sz w:val="32"/>
          <w:szCs w:val="32"/>
        </w:rPr>
      </w:pPr>
      <w:r>
        <w:rPr>
          <w:rFonts w:hint="eastAsia" w:ascii="仿宋" w:hAnsi="仿宋" w:eastAsia="仿宋" w:cs="仿宋"/>
          <w:b/>
          <w:bCs w:val="0"/>
          <w:sz w:val="32"/>
          <w:szCs w:val="32"/>
        </w:rPr>
        <w:t>采   购   人：怀化市第五人民医院</w:t>
      </w:r>
    </w:p>
    <w:p w14:paraId="4D92E6C4">
      <w:pPr>
        <w:pStyle w:val="4"/>
        <w:keepNext w:val="0"/>
        <w:keepLines w:val="0"/>
        <w:pageBreakBefore w:val="0"/>
        <w:widowControl w:val="0"/>
        <w:kinsoku/>
        <w:wordWrap/>
        <w:overflowPunct/>
        <w:topLinePunct w:val="0"/>
        <w:autoSpaceDE/>
        <w:autoSpaceDN/>
        <w:bidi w:val="0"/>
        <w:adjustRightInd w:val="0"/>
        <w:snapToGrid w:val="0"/>
        <w:spacing w:line="560" w:lineRule="exact"/>
        <w:ind w:left="1208" w:leftChars="0" w:hanging="1208" w:hangingChars="376"/>
        <w:jc w:val="center"/>
        <w:textAlignment w:val="auto"/>
        <w:rPr>
          <w:rFonts w:ascii="仿宋" w:hAnsi="仿宋" w:eastAsia="仿宋" w:cs="仿宋"/>
          <w:b/>
          <w:bCs w:val="0"/>
          <w:sz w:val="32"/>
          <w:szCs w:val="32"/>
        </w:rPr>
      </w:pPr>
    </w:p>
    <w:p w14:paraId="4A225899">
      <w:pPr>
        <w:pStyle w:val="4"/>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default" w:ascii="仿宋" w:hAnsi="仿宋" w:eastAsia="仿宋" w:cs="仿宋"/>
          <w:b/>
          <w:bCs w:val="0"/>
          <w:sz w:val="32"/>
          <w:szCs w:val="32"/>
          <w:lang w:val="en-US" w:eastAsia="zh-CN"/>
        </w:rPr>
      </w:pPr>
      <w:r>
        <w:rPr>
          <w:rFonts w:hint="eastAsia" w:ascii="仿宋" w:hAnsi="仿宋" w:eastAsia="仿宋" w:cs="仿宋"/>
          <w:b/>
          <w:bCs w:val="0"/>
          <w:sz w:val="32"/>
          <w:szCs w:val="32"/>
        </w:rPr>
        <w:t>采  购 编 号：</w:t>
      </w:r>
      <w:r>
        <w:rPr>
          <w:rFonts w:hint="eastAsia" w:ascii="仿宋" w:hAnsi="仿宋" w:eastAsia="仿宋" w:cs="仿宋"/>
          <w:b/>
          <w:bCs w:val="0"/>
          <w:sz w:val="32"/>
          <w:szCs w:val="32"/>
          <w:lang w:val="en-US" w:eastAsia="zh-CN"/>
        </w:rPr>
        <w:t>2026010</w:t>
      </w:r>
    </w:p>
    <w:p w14:paraId="3FE5A61D"/>
    <w:p w14:paraId="5C84A60A"/>
    <w:p w14:paraId="5847C10F"/>
    <w:p w14:paraId="79C729F9"/>
    <w:p w14:paraId="1D0AEE0C"/>
    <w:p w14:paraId="7EBE6816"/>
    <w:p w14:paraId="0083D846"/>
    <w:p w14:paraId="7FA2E629"/>
    <w:p w14:paraId="43965A08"/>
    <w:p w14:paraId="63F3D700"/>
    <w:p w14:paraId="50548AC9"/>
    <w:p w14:paraId="06A24FC5"/>
    <w:p w14:paraId="4EA4F39A"/>
    <w:p w14:paraId="4E4F5CB5"/>
    <w:p w14:paraId="0697F770"/>
    <w:p w14:paraId="6F3EF2C2"/>
    <w:p w14:paraId="015AB3D1"/>
    <w:p w14:paraId="412A8FE9"/>
    <w:p w14:paraId="2FD76B05">
      <w:pPr>
        <w:tabs>
          <w:tab w:val="left" w:pos="709"/>
        </w:tabs>
        <w:spacing w:line="360" w:lineRule="auto"/>
        <w:ind w:left="700"/>
        <w:jc w:val="center"/>
        <w:rPr>
          <w:rFonts w:hint="eastAsia" w:ascii="宋体" w:hAnsi="宋体" w:eastAsia="宋体" w:cs="宋体"/>
          <w:sz w:val="44"/>
          <w:szCs w:val="44"/>
        </w:rPr>
      </w:pPr>
      <w:r>
        <w:rPr>
          <w:rFonts w:hint="eastAsia" w:ascii="宋体" w:hAnsi="宋体" w:eastAsia="宋体" w:cs="宋体"/>
          <w:b/>
          <w:bCs/>
          <w:sz w:val="44"/>
          <w:szCs w:val="44"/>
        </w:rPr>
        <w:t>目   录</w:t>
      </w:r>
    </w:p>
    <w:p w14:paraId="5AB0AF6B">
      <w:pPr>
        <w:pStyle w:val="7"/>
        <w:keepNext w:val="0"/>
        <w:keepLines w:val="0"/>
        <w:pageBreakBefore w:val="0"/>
        <w:widowControl w:val="0"/>
        <w:tabs>
          <w:tab w:val="right" w:leader="dot" w:pos="9780"/>
        </w:tabs>
        <w:kinsoku/>
        <w:wordWrap/>
        <w:overflowPunct/>
        <w:topLinePunct w:val="0"/>
        <w:autoSpaceDE/>
        <w:autoSpaceDN/>
        <w:bidi w:val="0"/>
        <w:adjustRightInd/>
        <w:snapToGrid/>
        <w:spacing w:before="0" w:after="0" w:line="560" w:lineRule="exact"/>
        <w:ind w:left="0" w:right="0"/>
        <w:textAlignment w:val="auto"/>
        <w:rPr>
          <w:rFonts w:ascii="仿宋" w:hAnsi="仿宋" w:eastAsia="仿宋" w:cs="仿宋"/>
          <w:sz w:val="30"/>
          <w:szCs w:val="30"/>
        </w:rPr>
      </w:pPr>
      <w:r>
        <w:rPr>
          <w:rFonts w:hint="eastAsia" w:ascii="仿宋" w:hAnsi="仿宋" w:eastAsia="仿宋" w:cs="仿宋"/>
          <w:b w:val="0"/>
          <w:bCs w:val="0"/>
          <w:sz w:val="30"/>
          <w:szCs w:val="30"/>
        </w:rPr>
        <w:fldChar w:fldCharType="begin"/>
      </w:r>
      <w:r>
        <w:rPr>
          <w:rStyle w:val="10"/>
          <w:rFonts w:hint="eastAsia" w:ascii="仿宋" w:hAnsi="仿宋" w:eastAsia="仿宋" w:cs="仿宋"/>
          <w:b w:val="0"/>
          <w:bCs w:val="0"/>
          <w:color w:val="auto"/>
          <w:sz w:val="30"/>
          <w:szCs w:val="30"/>
        </w:rPr>
        <w:instrText xml:space="preserve"> TOC \o "1-1" \h \z \u </w:instrText>
      </w:r>
      <w:r>
        <w:rPr>
          <w:rFonts w:hint="eastAsia" w:ascii="仿宋" w:hAnsi="仿宋" w:eastAsia="仿宋" w:cs="仿宋"/>
          <w:b w:val="0"/>
          <w:bCs w:val="0"/>
          <w:sz w:val="30"/>
          <w:szCs w:val="30"/>
        </w:rPr>
        <w:fldChar w:fldCharType="separate"/>
      </w:r>
    </w:p>
    <w:p w14:paraId="4C3CFDEA">
      <w:pPr>
        <w:pStyle w:val="7"/>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hint="eastAsia" w:ascii="仿宋" w:hAnsi="仿宋" w:eastAsia="仿宋" w:cs="仿宋"/>
          <w:b/>
          <w:bCs/>
          <w:sz w:val="28"/>
          <w:szCs w:val="28"/>
        </w:rPr>
      </w:pPr>
      <w:r>
        <w:fldChar w:fldCharType="begin"/>
      </w:r>
      <w:r>
        <w:instrText xml:space="preserve"> HYPERLINK \l "_Toc32084" </w:instrText>
      </w:r>
      <w:r>
        <w:fldChar w:fldCharType="separate"/>
      </w:r>
      <w:r>
        <w:rPr>
          <w:rFonts w:hint="eastAsia" w:ascii="仿宋" w:hAnsi="仿宋" w:eastAsia="仿宋" w:cs="仿宋"/>
          <w:b/>
          <w:bCs/>
          <w:sz w:val="28"/>
          <w:szCs w:val="28"/>
        </w:rPr>
        <w:t>第一章  采购公告</w:t>
      </w:r>
      <w:r>
        <w:rPr>
          <w:rFonts w:hint="eastAsia" w:ascii="仿宋" w:hAnsi="仿宋" w:eastAsia="仿宋" w:cs="仿宋"/>
          <w:b/>
          <w:bCs/>
          <w:sz w:val="28"/>
          <w:szCs w:val="28"/>
        </w:rPr>
        <w:tab/>
      </w:r>
      <w:r>
        <w:rPr>
          <w:rFonts w:hint="eastAsia" w:ascii="仿宋" w:hAnsi="仿宋" w:eastAsia="仿宋" w:cs="仿宋"/>
          <w:b/>
          <w:bCs/>
          <w:sz w:val="28"/>
          <w:szCs w:val="28"/>
        </w:rPr>
        <w:fldChar w:fldCharType="end"/>
      </w:r>
      <w:r>
        <w:rPr>
          <w:rFonts w:hint="eastAsia" w:ascii="仿宋" w:hAnsi="仿宋" w:eastAsia="仿宋" w:cs="仿宋"/>
          <w:b/>
          <w:bCs/>
          <w:sz w:val="28"/>
          <w:szCs w:val="28"/>
        </w:rPr>
        <w:t>3</w:t>
      </w:r>
    </w:p>
    <w:p w14:paraId="0AE19387">
      <w:pPr>
        <w:pStyle w:val="7"/>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hint="eastAsia" w:ascii="仿宋" w:hAnsi="仿宋" w:eastAsia="仿宋" w:cs="仿宋"/>
          <w:b/>
          <w:bCs/>
          <w:sz w:val="28"/>
          <w:szCs w:val="28"/>
          <w:lang w:val="en-US" w:eastAsia="zh-CN"/>
        </w:rPr>
      </w:pPr>
      <w:r>
        <w:fldChar w:fldCharType="begin"/>
      </w:r>
      <w:r>
        <w:instrText xml:space="preserve"> HYPERLINK \l "_Toc3942" </w:instrText>
      </w:r>
      <w:r>
        <w:fldChar w:fldCharType="separate"/>
      </w:r>
      <w:r>
        <w:rPr>
          <w:rFonts w:hint="eastAsia" w:ascii="仿宋" w:hAnsi="仿宋" w:eastAsia="仿宋" w:cs="仿宋"/>
          <w:b/>
          <w:bCs/>
          <w:sz w:val="28"/>
          <w:szCs w:val="28"/>
        </w:rPr>
        <w:t>第二章  投标资料表</w:t>
      </w:r>
      <w:r>
        <w:rPr>
          <w:rFonts w:hint="eastAsia" w:ascii="仿宋" w:hAnsi="仿宋" w:eastAsia="仿宋" w:cs="仿宋"/>
          <w:b/>
          <w:bCs/>
          <w:sz w:val="28"/>
          <w:szCs w:val="28"/>
        </w:rPr>
        <w:tab/>
      </w:r>
      <w:r>
        <w:rPr>
          <w:rFonts w:hint="eastAsia" w:ascii="仿宋" w:hAnsi="仿宋" w:eastAsia="仿宋" w:cs="仿宋"/>
          <w:b/>
          <w:bCs/>
          <w:sz w:val="28"/>
          <w:szCs w:val="28"/>
        </w:rPr>
        <w:fldChar w:fldCharType="end"/>
      </w:r>
      <w:r>
        <w:rPr>
          <w:rFonts w:hint="eastAsia" w:ascii="仿宋" w:hAnsi="仿宋" w:eastAsia="仿宋" w:cs="仿宋"/>
          <w:b/>
          <w:bCs/>
          <w:sz w:val="28"/>
          <w:szCs w:val="28"/>
          <w:lang w:val="en-US" w:eastAsia="zh-CN"/>
        </w:rPr>
        <w:t>5</w:t>
      </w:r>
    </w:p>
    <w:p w14:paraId="219157A9">
      <w:pPr>
        <w:pStyle w:val="7"/>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hint="eastAsia" w:ascii="仿宋" w:hAnsi="仿宋" w:eastAsia="仿宋" w:cs="仿宋"/>
          <w:b/>
          <w:bCs/>
          <w:sz w:val="28"/>
          <w:szCs w:val="28"/>
          <w:lang w:val="en-US" w:eastAsia="zh-CN"/>
        </w:rPr>
      </w:pPr>
      <w:r>
        <w:fldChar w:fldCharType="begin"/>
      </w:r>
      <w:r>
        <w:instrText xml:space="preserve"> HYPERLINK \l "_Toc27840" </w:instrText>
      </w:r>
      <w:r>
        <w:fldChar w:fldCharType="separate"/>
      </w:r>
      <w:r>
        <w:rPr>
          <w:rFonts w:hint="eastAsia" w:ascii="仿宋" w:hAnsi="仿宋" w:eastAsia="仿宋" w:cs="仿宋"/>
          <w:b/>
          <w:bCs/>
          <w:sz w:val="28"/>
          <w:szCs w:val="28"/>
        </w:rPr>
        <w:t>第三章  评价体系与标准</w:t>
      </w:r>
      <w:r>
        <w:rPr>
          <w:rFonts w:hint="eastAsia" w:ascii="仿宋" w:hAnsi="仿宋" w:eastAsia="仿宋" w:cs="仿宋"/>
          <w:b/>
          <w:bCs/>
          <w:sz w:val="28"/>
          <w:szCs w:val="28"/>
        </w:rPr>
        <w:tab/>
      </w:r>
      <w:r>
        <w:rPr>
          <w:rFonts w:hint="eastAsia" w:ascii="仿宋" w:hAnsi="仿宋" w:eastAsia="仿宋" w:cs="仿宋"/>
          <w:b/>
          <w:bCs/>
          <w:sz w:val="28"/>
          <w:szCs w:val="28"/>
        </w:rPr>
        <w:fldChar w:fldCharType="end"/>
      </w:r>
      <w:r>
        <w:rPr>
          <w:rFonts w:hint="eastAsia" w:ascii="仿宋" w:hAnsi="仿宋" w:eastAsia="仿宋" w:cs="仿宋"/>
          <w:b/>
          <w:bCs/>
          <w:sz w:val="28"/>
          <w:szCs w:val="28"/>
          <w:lang w:val="en-US" w:eastAsia="zh-CN"/>
        </w:rPr>
        <w:t>7</w:t>
      </w:r>
    </w:p>
    <w:p w14:paraId="2D930534">
      <w:pPr>
        <w:pStyle w:val="7"/>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hint="eastAsia" w:ascii="仿宋" w:hAnsi="仿宋" w:eastAsia="仿宋" w:cs="仿宋"/>
          <w:sz w:val="30"/>
          <w:szCs w:val="30"/>
          <w:lang w:val="en-US" w:eastAsia="zh-CN"/>
        </w:rPr>
      </w:pPr>
      <w:r>
        <w:fldChar w:fldCharType="begin"/>
      </w:r>
      <w:r>
        <w:instrText xml:space="preserve"> HYPERLINK \l "_Toc27840" </w:instrText>
      </w:r>
      <w:r>
        <w:fldChar w:fldCharType="separate"/>
      </w:r>
      <w:r>
        <w:rPr>
          <w:rFonts w:hint="eastAsia" w:ascii="仿宋" w:hAnsi="仿宋" w:eastAsia="仿宋" w:cs="仿宋"/>
          <w:b/>
          <w:bCs/>
          <w:sz w:val="28"/>
          <w:szCs w:val="28"/>
        </w:rPr>
        <w:t>第四章  技术参数说明</w:t>
      </w:r>
      <w:r>
        <w:rPr>
          <w:rFonts w:hint="eastAsia" w:ascii="仿宋" w:hAnsi="仿宋" w:eastAsia="仿宋" w:cs="仿宋"/>
          <w:b/>
          <w:bCs/>
          <w:sz w:val="28"/>
          <w:szCs w:val="28"/>
        </w:rPr>
        <w:tab/>
      </w:r>
      <w:r>
        <w:rPr>
          <w:rFonts w:hint="eastAsia" w:ascii="仿宋" w:hAnsi="仿宋" w:eastAsia="仿宋" w:cs="仿宋"/>
          <w:b/>
          <w:bCs/>
          <w:sz w:val="28"/>
          <w:szCs w:val="28"/>
        </w:rPr>
        <w:fldChar w:fldCharType="end"/>
      </w:r>
      <w:r>
        <w:rPr>
          <w:rFonts w:hint="eastAsia" w:ascii="仿宋" w:hAnsi="仿宋" w:eastAsia="仿宋" w:cs="仿宋"/>
          <w:b/>
          <w:bCs/>
          <w:sz w:val="28"/>
          <w:szCs w:val="28"/>
          <w:lang w:val="en-US" w:eastAsia="zh-CN"/>
        </w:rPr>
        <w:t>9</w:t>
      </w:r>
    </w:p>
    <w:p w14:paraId="49B5AFF7">
      <w:pPr>
        <w:pStyle w:val="7"/>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ascii="仿宋" w:hAnsi="仿宋" w:eastAsia="仿宋" w:cs="仿宋"/>
          <w:sz w:val="30"/>
          <w:szCs w:val="30"/>
        </w:rPr>
      </w:pPr>
    </w:p>
    <w:p w14:paraId="0BF66728">
      <w:pPr>
        <w:rPr>
          <w:rFonts w:hint="eastAsia" w:ascii="仿宋" w:hAnsi="仿宋" w:eastAsia="仿宋" w:cs="仿宋"/>
          <w:b/>
          <w:bCs/>
          <w:sz w:val="30"/>
          <w:szCs w:val="30"/>
        </w:rPr>
      </w:pPr>
      <w:r>
        <w:rPr>
          <w:rFonts w:hint="eastAsia" w:ascii="仿宋" w:hAnsi="仿宋" w:eastAsia="仿宋" w:cs="仿宋"/>
          <w:b/>
          <w:bCs/>
          <w:sz w:val="30"/>
          <w:szCs w:val="30"/>
        </w:rPr>
        <w:fldChar w:fldCharType="end"/>
      </w:r>
    </w:p>
    <w:p w14:paraId="0D9E7FA0">
      <w:pPr>
        <w:bidi w:val="0"/>
        <w:rPr>
          <w:rFonts w:hint="eastAsia" w:ascii="Times New Roman" w:hAnsi="Times New Roman" w:eastAsia="宋体" w:cs="Times New Roman"/>
          <w:kern w:val="2"/>
          <w:sz w:val="21"/>
          <w:szCs w:val="24"/>
          <w:lang w:val="en-US" w:eastAsia="zh-CN" w:bidi="ar-SA"/>
        </w:rPr>
      </w:pPr>
    </w:p>
    <w:p w14:paraId="1ACA3998">
      <w:pPr>
        <w:bidi w:val="0"/>
        <w:rPr>
          <w:rFonts w:hint="eastAsia"/>
          <w:lang w:val="en-US" w:eastAsia="zh-CN"/>
        </w:rPr>
      </w:pPr>
    </w:p>
    <w:p w14:paraId="45395DB2">
      <w:pPr>
        <w:bidi w:val="0"/>
        <w:rPr>
          <w:rFonts w:hint="eastAsia"/>
          <w:lang w:val="en-US" w:eastAsia="zh-CN"/>
        </w:rPr>
      </w:pPr>
    </w:p>
    <w:p w14:paraId="72907B08">
      <w:pPr>
        <w:bidi w:val="0"/>
        <w:rPr>
          <w:rFonts w:hint="eastAsia"/>
          <w:lang w:val="en-US" w:eastAsia="zh-CN"/>
        </w:rPr>
      </w:pPr>
    </w:p>
    <w:p w14:paraId="2E9EAF61">
      <w:pPr>
        <w:bidi w:val="0"/>
        <w:rPr>
          <w:rFonts w:hint="eastAsia"/>
          <w:lang w:val="en-US" w:eastAsia="zh-CN"/>
        </w:rPr>
      </w:pPr>
    </w:p>
    <w:p w14:paraId="2C6748A3">
      <w:pPr>
        <w:bidi w:val="0"/>
        <w:rPr>
          <w:rFonts w:hint="eastAsia"/>
          <w:lang w:val="en-US" w:eastAsia="zh-CN"/>
        </w:rPr>
      </w:pPr>
    </w:p>
    <w:p w14:paraId="6E613D5F">
      <w:pPr>
        <w:bidi w:val="0"/>
        <w:rPr>
          <w:rFonts w:hint="eastAsia"/>
          <w:lang w:val="en-US" w:eastAsia="zh-CN"/>
        </w:rPr>
      </w:pPr>
    </w:p>
    <w:p w14:paraId="54DE9394">
      <w:pPr>
        <w:bidi w:val="0"/>
        <w:rPr>
          <w:rFonts w:hint="eastAsia"/>
          <w:lang w:val="en-US" w:eastAsia="zh-CN"/>
        </w:rPr>
      </w:pPr>
    </w:p>
    <w:p w14:paraId="6313DF80">
      <w:pPr>
        <w:tabs>
          <w:tab w:val="left" w:pos="7529"/>
        </w:tabs>
        <w:bidi w:val="0"/>
        <w:jc w:val="left"/>
        <w:rPr>
          <w:rFonts w:hint="eastAsia"/>
          <w:lang w:val="en-US" w:eastAsia="zh-CN"/>
        </w:rPr>
      </w:pPr>
      <w:r>
        <w:rPr>
          <w:rFonts w:hint="eastAsia"/>
          <w:lang w:val="en-US" w:eastAsia="zh-CN"/>
        </w:rPr>
        <w:tab/>
      </w:r>
    </w:p>
    <w:p w14:paraId="4A7B63A3">
      <w:pPr>
        <w:tabs>
          <w:tab w:val="left" w:pos="7529"/>
        </w:tabs>
        <w:bidi w:val="0"/>
        <w:jc w:val="left"/>
        <w:rPr>
          <w:rFonts w:hint="eastAsia"/>
          <w:lang w:val="en-US" w:eastAsia="zh-CN"/>
        </w:rPr>
      </w:pPr>
    </w:p>
    <w:p w14:paraId="6C78A37C">
      <w:pPr>
        <w:tabs>
          <w:tab w:val="left" w:pos="7529"/>
        </w:tabs>
        <w:bidi w:val="0"/>
        <w:jc w:val="left"/>
        <w:rPr>
          <w:rFonts w:hint="eastAsia"/>
          <w:lang w:val="en-US" w:eastAsia="zh-CN"/>
        </w:rPr>
      </w:pPr>
    </w:p>
    <w:p w14:paraId="31C8BB9F">
      <w:pPr>
        <w:tabs>
          <w:tab w:val="left" w:pos="7529"/>
        </w:tabs>
        <w:bidi w:val="0"/>
        <w:jc w:val="left"/>
        <w:rPr>
          <w:rFonts w:hint="eastAsia"/>
          <w:lang w:val="en-US" w:eastAsia="zh-CN"/>
        </w:rPr>
      </w:pPr>
    </w:p>
    <w:p w14:paraId="079262A1">
      <w:pPr>
        <w:tabs>
          <w:tab w:val="left" w:pos="7529"/>
        </w:tabs>
        <w:bidi w:val="0"/>
        <w:jc w:val="left"/>
        <w:rPr>
          <w:rFonts w:hint="eastAsia"/>
          <w:lang w:val="en-US" w:eastAsia="zh-CN"/>
        </w:rPr>
      </w:pPr>
    </w:p>
    <w:p w14:paraId="3E25FEED">
      <w:pPr>
        <w:tabs>
          <w:tab w:val="left" w:pos="7529"/>
        </w:tabs>
        <w:bidi w:val="0"/>
        <w:jc w:val="left"/>
        <w:rPr>
          <w:rFonts w:hint="eastAsia"/>
          <w:lang w:val="en-US" w:eastAsia="zh-CN"/>
        </w:rPr>
      </w:pPr>
    </w:p>
    <w:p w14:paraId="10CE1E04">
      <w:pPr>
        <w:tabs>
          <w:tab w:val="left" w:pos="7529"/>
        </w:tabs>
        <w:bidi w:val="0"/>
        <w:jc w:val="left"/>
        <w:rPr>
          <w:rFonts w:hint="eastAsia"/>
          <w:lang w:val="en-US" w:eastAsia="zh-CN"/>
        </w:rPr>
      </w:pPr>
    </w:p>
    <w:p w14:paraId="039FBCEB">
      <w:pPr>
        <w:tabs>
          <w:tab w:val="left" w:pos="7529"/>
        </w:tabs>
        <w:bidi w:val="0"/>
        <w:jc w:val="left"/>
        <w:rPr>
          <w:rFonts w:hint="eastAsia"/>
          <w:lang w:val="en-US" w:eastAsia="zh-CN"/>
        </w:rPr>
      </w:pPr>
    </w:p>
    <w:p w14:paraId="244076C1">
      <w:pPr>
        <w:tabs>
          <w:tab w:val="left" w:pos="7529"/>
        </w:tabs>
        <w:bidi w:val="0"/>
        <w:jc w:val="left"/>
        <w:rPr>
          <w:rFonts w:hint="eastAsia"/>
          <w:lang w:val="en-US" w:eastAsia="zh-CN"/>
        </w:rPr>
      </w:pPr>
    </w:p>
    <w:p w14:paraId="115F4CB6">
      <w:pPr>
        <w:tabs>
          <w:tab w:val="left" w:pos="7529"/>
        </w:tabs>
        <w:bidi w:val="0"/>
        <w:jc w:val="left"/>
        <w:rPr>
          <w:rFonts w:hint="eastAsia"/>
          <w:lang w:val="en-US" w:eastAsia="zh-CN"/>
        </w:rPr>
      </w:pPr>
    </w:p>
    <w:p w14:paraId="447764F9">
      <w:pPr>
        <w:tabs>
          <w:tab w:val="left" w:pos="7529"/>
        </w:tabs>
        <w:bidi w:val="0"/>
        <w:jc w:val="left"/>
        <w:rPr>
          <w:rFonts w:hint="eastAsia"/>
          <w:lang w:val="en-US" w:eastAsia="zh-CN"/>
        </w:rPr>
      </w:pPr>
    </w:p>
    <w:p w14:paraId="300AAED5">
      <w:pPr>
        <w:tabs>
          <w:tab w:val="left" w:pos="7529"/>
        </w:tabs>
        <w:bidi w:val="0"/>
        <w:jc w:val="left"/>
        <w:rPr>
          <w:rFonts w:hint="eastAsia"/>
          <w:lang w:val="en-US" w:eastAsia="zh-CN"/>
        </w:rPr>
      </w:pPr>
    </w:p>
    <w:p w14:paraId="2E162CA9">
      <w:pPr>
        <w:tabs>
          <w:tab w:val="left" w:pos="7529"/>
        </w:tabs>
        <w:bidi w:val="0"/>
        <w:jc w:val="left"/>
        <w:rPr>
          <w:rFonts w:hint="eastAsia"/>
          <w:lang w:val="en-US" w:eastAsia="zh-CN"/>
        </w:rPr>
      </w:pPr>
    </w:p>
    <w:p w14:paraId="01908A21">
      <w:pPr>
        <w:tabs>
          <w:tab w:val="left" w:pos="7529"/>
        </w:tabs>
        <w:bidi w:val="0"/>
        <w:jc w:val="left"/>
        <w:rPr>
          <w:rFonts w:hint="eastAsia"/>
          <w:lang w:val="en-US" w:eastAsia="zh-CN"/>
        </w:rPr>
      </w:pPr>
    </w:p>
    <w:p w14:paraId="70ECDF51">
      <w:pPr>
        <w:tabs>
          <w:tab w:val="left" w:pos="7529"/>
        </w:tabs>
        <w:bidi w:val="0"/>
        <w:jc w:val="left"/>
        <w:rPr>
          <w:rFonts w:hint="eastAsia"/>
          <w:lang w:val="en-US" w:eastAsia="zh-CN"/>
        </w:rPr>
      </w:pPr>
    </w:p>
    <w:p w14:paraId="746F943F">
      <w:pPr>
        <w:tabs>
          <w:tab w:val="left" w:pos="7529"/>
        </w:tabs>
        <w:bidi w:val="0"/>
        <w:jc w:val="left"/>
        <w:rPr>
          <w:rFonts w:hint="eastAsia"/>
          <w:lang w:val="en-US" w:eastAsia="zh-CN"/>
        </w:rPr>
      </w:pPr>
    </w:p>
    <w:p w14:paraId="0FF5B936">
      <w:pPr>
        <w:tabs>
          <w:tab w:val="left" w:pos="7529"/>
        </w:tabs>
        <w:bidi w:val="0"/>
        <w:jc w:val="left"/>
        <w:rPr>
          <w:rFonts w:hint="eastAsia"/>
          <w:lang w:val="en-US" w:eastAsia="zh-CN"/>
        </w:rPr>
      </w:pPr>
    </w:p>
    <w:p w14:paraId="71ADF21D">
      <w:pPr>
        <w:numPr>
          <w:ilvl w:val="0"/>
          <w:numId w:val="2"/>
        </w:numPr>
        <w:adjustRightInd w:val="0"/>
        <w:snapToGrid w:val="0"/>
        <w:spacing w:line="240" w:lineRule="atLeast"/>
        <w:jc w:val="center"/>
        <w:rPr>
          <w:rFonts w:hint="eastAsia" w:ascii="宋体" w:hAnsi="宋体" w:eastAsia="宋体" w:cs="宋体"/>
          <w:b/>
          <w:bCs/>
          <w:sz w:val="44"/>
          <w:szCs w:val="44"/>
        </w:rPr>
      </w:pPr>
      <w:r>
        <w:rPr>
          <w:rFonts w:hint="eastAsia" w:ascii="宋体" w:hAnsi="宋体" w:eastAsia="宋体" w:cs="宋体"/>
          <w:b/>
          <w:bCs/>
          <w:color w:val="FF0000"/>
          <w:sz w:val="44"/>
          <w:szCs w:val="44"/>
        </w:rPr>
        <w:t xml:space="preserve"> </w:t>
      </w:r>
      <w:r>
        <w:rPr>
          <w:rFonts w:hint="eastAsia" w:ascii="宋体" w:hAnsi="宋体" w:eastAsia="宋体" w:cs="宋体"/>
          <w:b/>
          <w:bCs/>
          <w:sz w:val="44"/>
          <w:szCs w:val="44"/>
        </w:rPr>
        <w:t>采购公告</w:t>
      </w:r>
    </w:p>
    <w:p w14:paraId="6ECC61D1">
      <w:pPr>
        <w:numPr>
          <w:ilvl w:val="0"/>
          <w:numId w:val="0"/>
        </w:numPr>
        <w:adjustRightInd w:val="0"/>
        <w:snapToGrid w:val="0"/>
        <w:spacing w:line="240" w:lineRule="atLeast"/>
        <w:jc w:val="both"/>
        <w:rPr>
          <w:rFonts w:hint="eastAsia" w:ascii="宋体" w:hAnsi="宋体" w:eastAsia="宋体" w:cs="宋体"/>
          <w:b/>
          <w:bCs/>
          <w:sz w:val="32"/>
          <w:szCs w:val="32"/>
        </w:rPr>
      </w:pPr>
    </w:p>
    <w:p w14:paraId="1E8604A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color w:val="000000"/>
          <w:sz w:val="32"/>
          <w:szCs w:val="32"/>
        </w:rPr>
      </w:pPr>
      <w:r>
        <w:rPr>
          <w:rFonts w:hint="eastAsia" w:ascii="仿宋" w:hAnsi="仿宋" w:eastAsia="仿宋" w:cs="仿宋"/>
          <w:color w:val="000000"/>
          <w:sz w:val="32"/>
          <w:szCs w:val="32"/>
        </w:rPr>
        <w:t>根据临床需要，对下列采购项目进行</w:t>
      </w:r>
      <w:r>
        <w:rPr>
          <w:rFonts w:hint="eastAsia" w:ascii="仿宋" w:hAnsi="仿宋" w:eastAsia="仿宋" w:cs="仿宋"/>
          <w:b/>
          <w:bCs/>
          <w:color w:val="000000"/>
          <w:sz w:val="32"/>
          <w:szCs w:val="32"/>
        </w:rPr>
        <w:t>院内公开招标采购</w:t>
      </w:r>
      <w:r>
        <w:rPr>
          <w:rFonts w:hint="eastAsia" w:ascii="仿宋" w:hAnsi="仿宋" w:eastAsia="仿宋" w:cs="仿宋"/>
          <w:color w:val="000000"/>
          <w:sz w:val="32"/>
          <w:szCs w:val="32"/>
        </w:rPr>
        <w:t>，欢迎符合资质的经销商、厂商投标。</w:t>
      </w:r>
    </w:p>
    <w:p w14:paraId="2DEFC71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kern w:val="0"/>
          <w:sz w:val="32"/>
          <w:szCs w:val="32"/>
        </w:rPr>
      </w:pPr>
      <w:r>
        <w:rPr>
          <w:rFonts w:hint="eastAsia" w:ascii="黑体" w:hAnsi="黑体" w:eastAsia="黑体" w:cs="黑体"/>
          <w:color w:val="000000"/>
          <w:sz w:val="32"/>
          <w:szCs w:val="32"/>
        </w:rPr>
        <w:t>一、项目概况</w:t>
      </w:r>
    </w:p>
    <w:p w14:paraId="25D5252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color w:val="000000"/>
          <w:sz w:val="32"/>
          <w:szCs w:val="32"/>
        </w:rPr>
      </w:pPr>
      <w:r>
        <w:rPr>
          <w:rFonts w:hint="eastAsia" w:ascii="仿宋" w:hAnsi="仿宋" w:eastAsia="仿宋" w:cs="仿宋"/>
          <w:kern w:val="0"/>
          <w:sz w:val="32"/>
          <w:szCs w:val="32"/>
        </w:rPr>
        <w:t>1</w:t>
      </w:r>
      <w:r>
        <w:rPr>
          <w:rFonts w:hint="eastAsia" w:ascii="仿宋" w:hAnsi="仿宋" w:eastAsia="仿宋" w:cs="仿宋"/>
          <w:kern w:val="0"/>
          <w:sz w:val="32"/>
          <w:szCs w:val="32"/>
          <w:lang w:val="en-US" w:eastAsia="zh-CN"/>
        </w:rPr>
        <w:t>.</w:t>
      </w:r>
      <w:r>
        <w:rPr>
          <w:rFonts w:hint="eastAsia" w:ascii="仿宋" w:hAnsi="仿宋" w:eastAsia="仿宋" w:cs="仿宋"/>
          <w:kern w:val="0"/>
          <w:sz w:val="32"/>
          <w:szCs w:val="32"/>
        </w:rPr>
        <w:t>项目名称：怀化市第五人民医院次氯酸发生器采购</w:t>
      </w:r>
    </w:p>
    <w:p w14:paraId="6BD32E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2</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采购编号：</w:t>
      </w:r>
      <w:r>
        <w:rPr>
          <w:rFonts w:hint="eastAsia" w:ascii="仿宋" w:hAnsi="仿宋" w:eastAsia="仿宋" w:cs="仿宋"/>
          <w:color w:val="000000"/>
          <w:sz w:val="32"/>
          <w:szCs w:val="32"/>
          <w:lang w:val="en-US" w:eastAsia="zh-CN"/>
        </w:rPr>
        <w:t>2026010</w:t>
      </w:r>
    </w:p>
    <w:p w14:paraId="47DA2EE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auto"/>
          <w:sz w:val="32"/>
          <w:szCs w:val="32"/>
          <w:lang w:val="en-US" w:eastAsia="zh-CN"/>
        </w:rPr>
        <w:t>3.采购项目预算：6.5万元/台</w:t>
      </w:r>
    </w:p>
    <w:p w14:paraId="6D77C37D">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color w:val="FF0000"/>
          <w:sz w:val="32"/>
          <w:szCs w:val="32"/>
          <w:lang w:val="en-US" w:eastAsia="zh-CN"/>
        </w:rPr>
      </w:pPr>
      <w:bookmarkStart w:id="0" w:name="auto_fouce_1"/>
      <w:r>
        <w:rPr>
          <w:rFonts w:hint="eastAsia" w:ascii="仿宋" w:hAnsi="仿宋" w:eastAsia="仿宋" w:cs="仿宋"/>
          <w:sz w:val="32"/>
          <w:szCs w:val="32"/>
          <w:lang w:val="en-US" w:eastAsia="zh-CN"/>
        </w:rPr>
        <w:t>4.</w:t>
      </w:r>
      <w:r>
        <w:rPr>
          <w:rFonts w:hint="eastAsia" w:ascii="仿宋" w:hAnsi="仿宋" w:eastAsia="仿宋" w:cs="仿宋"/>
          <w:color w:val="000000"/>
          <w:sz w:val="32"/>
          <w:szCs w:val="32"/>
        </w:rPr>
        <w:t>采购方式</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院内公开招标（</w:t>
      </w:r>
      <w:r>
        <w:rPr>
          <w:rFonts w:hint="eastAsia" w:ascii="仿宋" w:hAnsi="仿宋" w:eastAsia="仿宋" w:cs="仿宋"/>
          <w:color w:val="000000"/>
          <w:sz w:val="32"/>
          <w:szCs w:val="32"/>
          <w:lang w:eastAsia="zh-CN"/>
        </w:rPr>
        <w:t>竞争性谈判</w:t>
      </w:r>
      <w:r>
        <w:rPr>
          <w:rFonts w:hint="eastAsia" w:ascii="仿宋" w:hAnsi="仿宋" w:eastAsia="仿宋" w:cs="仿宋"/>
          <w:color w:val="000000"/>
          <w:sz w:val="32"/>
          <w:szCs w:val="32"/>
        </w:rPr>
        <w:t>）</w:t>
      </w:r>
      <w:bookmarkEnd w:id="0"/>
    </w:p>
    <w:p w14:paraId="1F9D2EA1">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二、投标人的资格要求</w:t>
      </w:r>
    </w:p>
    <w:p w14:paraId="5F4AF2A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1、在中华人民共和国境内注册，能够独立承担民事责任的法人。</w:t>
      </w:r>
    </w:p>
    <w:p w14:paraId="45BC494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2、要求投标人遵守国家有关法律、法规、规章制度，具有良好的商业信誉，具有履行合同的能力和良好的履行合同的记录。</w:t>
      </w:r>
    </w:p>
    <w:p w14:paraId="330C39E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3、要求投标人有依法缴纳税收和社会保障资金的良好记录，并在投标文件中提供相关证明文件。</w:t>
      </w:r>
    </w:p>
    <w:p w14:paraId="1380BA9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4、要求投标人参加政府采购活动近三年内，在经营活动中没有重大违法记录。</w:t>
      </w:r>
    </w:p>
    <w:p w14:paraId="0B94EF6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5、投标人未被“信用中国”（www.creditchina.gov.cn）列入失信被执行人、重大税收违法案件当事人名单、政府采购严重违法失信行为记录名单，并提交截图证明。</w:t>
      </w:r>
    </w:p>
    <w:p w14:paraId="7B4E20D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特定资格条件：①投标人为经营企业的:A、产品为第三类医疗器械的需提供《医疗器械经营许可证》；B、产品为第二类医疗器械的需提供《第二类医疗器械经营备案凭证》；投标人为产品制造商的：需提供《医疗器械生产许可证》或《第一类医疗器械生产备案凭证》。</w:t>
      </w:r>
    </w:p>
    <w:p w14:paraId="478CA5E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②投标人提供的国内产品:A.为一类医疗器械的需提供《第一类医疗器械备案凭证》、《第一类医疗器械生产备案凭证》;B.为二、三类医疗器械的需提供《医疗器械注册证》、《医疗器械生产许可证》</w:t>
      </w:r>
      <w:r>
        <w:rPr>
          <w:rFonts w:hint="eastAsia" w:ascii="仿宋" w:hAnsi="仿宋" w:eastAsia="仿宋" w:cs="仿宋"/>
          <w:sz w:val="32"/>
          <w:szCs w:val="32"/>
          <w:lang w:eastAsia="zh-CN"/>
        </w:rPr>
        <w:t>。</w:t>
      </w:r>
      <w:bookmarkStart w:id="1" w:name="auto_fouce_2"/>
      <w:bookmarkEnd w:id="1"/>
    </w:p>
    <w:p w14:paraId="39C270F7">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仿宋" w:hAnsi="仿宋" w:eastAsia="仿宋" w:cs="仿宋"/>
          <w:sz w:val="32"/>
          <w:szCs w:val="32"/>
        </w:rPr>
      </w:pPr>
      <w:r>
        <w:rPr>
          <w:rFonts w:hint="eastAsia" w:ascii="黑体" w:hAnsi="黑体" w:eastAsia="黑体" w:cs="黑体"/>
          <w:sz w:val="32"/>
          <w:szCs w:val="32"/>
        </w:rPr>
        <w:t>三、投标及开标事宜</w:t>
      </w:r>
    </w:p>
    <w:p w14:paraId="0A0F119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1、投标人需提供的相关材料和标书要求详见招标文件，按招标文件要求制作投标文件并</w:t>
      </w:r>
      <w:r>
        <w:rPr>
          <w:rFonts w:hint="eastAsia" w:ascii="仿宋" w:hAnsi="仿宋" w:eastAsia="仿宋" w:cs="仿宋"/>
          <w:sz w:val="32"/>
          <w:szCs w:val="32"/>
          <w:lang w:eastAsia="zh-CN"/>
        </w:rPr>
        <w:t>胶装</w:t>
      </w:r>
      <w:r>
        <w:rPr>
          <w:rFonts w:hint="eastAsia" w:ascii="仿宋" w:hAnsi="仿宋" w:eastAsia="仿宋" w:cs="仿宋"/>
          <w:sz w:val="32"/>
          <w:szCs w:val="32"/>
        </w:rPr>
        <w:t>成册</w:t>
      </w:r>
      <w:r>
        <w:rPr>
          <w:rFonts w:hint="eastAsia" w:ascii="仿宋" w:hAnsi="仿宋" w:eastAsia="仿宋" w:cs="仿宋"/>
          <w:sz w:val="32"/>
          <w:szCs w:val="32"/>
          <w:lang w:eastAsia="zh-CN"/>
        </w:rPr>
        <w:t>密封</w:t>
      </w:r>
      <w:r>
        <w:rPr>
          <w:rFonts w:hint="eastAsia" w:ascii="仿宋" w:hAnsi="仿宋" w:eastAsia="仿宋" w:cs="仿宋"/>
          <w:sz w:val="32"/>
          <w:szCs w:val="32"/>
        </w:rPr>
        <w:t>，一正</w:t>
      </w:r>
      <w:r>
        <w:rPr>
          <w:rFonts w:hint="eastAsia" w:ascii="仿宋" w:hAnsi="仿宋" w:eastAsia="仿宋" w:cs="仿宋"/>
          <w:sz w:val="32"/>
          <w:szCs w:val="32"/>
          <w:lang w:eastAsia="zh-CN"/>
        </w:rPr>
        <w:t>一</w:t>
      </w:r>
      <w:r>
        <w:rPr>
          <w:rFonts w:hint="eastAsia" w:ascii="仿宋" w:hAnsi="仿宋" w:eastAsia="仿宋" w:cs="仿宋"/>
          <w:sz w:val="32"/>
          <w:szCs w:val="32"/>
        </w:rPr>
        <w:t>副</w:t>
      </w:r>
      <w:r>
        <w:rPr>
          <w:rFonts w:hint="eastAsia" w:ascii="仿宋" w:hAnsi="仿宋" w:eastAsia="仿宋" w:cs="仿宋"/>
          <w:sz w:val="32"/>
          <w:szCs w:val="32"/>
          <w:lang w:eastAsia="zh-CN"/>
        </w:rPr>
        <w:t>，加盖公章</w:t>
      </w:r>
      <w:r>
        <w:rPr>
          <w:rFonts w:hint="eastAsia" w:ascii="仿宋" w:hAnsi="仿宋" w:eastAsia="仿宋" w:cs="仿宋"/>
          <w:sz w:val="32"/>
          <w:szCs w:val="32"/>
        </w:rPr>
        <w:t>。</w:t>
      </w:r>
    </w:p>
    <w:p w14:paraId="0C04F68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sz w:val="32"/>
          <w:szCs w:val="32"/>
        </w:rPr>
      </w:pPr>
      <w:bookmarkStart w:id="2" w:name="tip_risk_bookmark_3"/>
      <w:r>
        <w:rPr>
          <w:rFonts w:hint="eastAsia" w:ascii="仿宋" w:hAnsi="仿宋" w:eastAsia="仿宋" w:cs="仿宋"/>
          <w:sz w:val="32"/>
          <w:szCs w:val="32"/>
        </w:rPr>
        <w:t>2、报名截止时间：</w:t>
      </w: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11</w:t>
      </w:r>
      <w:r>
        <w:rPr>
          <w:rFonts w:hint="eastAsia" w:ascii="仿宋" w:hAnsi="仿宋" w:eastAsia="仿宋" w:cs="仿宋"/>
          <w:sz w:val="32"/>
          <w:szCs w:val="32"/>
        </w:rPr>
        <w:t>日</w:t>
      </w:r>
      <w:r>
        <w:rPr>
          <w:rFonts w:ascii="仿宋" w:hAnsi="仿宋" w:eastAsia="仿宋" w:cs="仿宋"/>
          <w:sz w:val="32"/>
          <w:szCs w:val="32"/>
        </w:rPr>
        <w:t>17</w:t>
      </w:r>
      <w:r>
        <w:rPr>
          <w:rFonts w:hint="eastAsia" w:ascii="仿宋" w:hAnsi="仿宋" w:eastAsia="仿宋" w:cs="仿宋"/>
          <w:sz w:val="32"/>
          <w:szCs w:val="32"/>
        </w:rPr>
        <w:t>:00止（北京时间）</w:t>
      </w:r>
      <w:bookmarkEnd w:id="2"/>
    </w:p>
    <w:p w14:paraId="7E638F3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3、报名地址：怀化市第五人民医院</w:t>
      </w:r>
      <w:r>
        <w:rPr>
          <w:rFonts w:hint="eastAsia" w:ascii="仿宋" w:hAnsi="仿宋" w:eastAsia="仿宋" w:cs="仿宋"/>
          <w:sz w:val="32"/>
          <w:szCs w:val="32"/>
          <w:lang w:eastAsia="zh-CN"/>
        </w:rPr>
        <w:t>运营管理部</w:t>
      </w:r>
    </w:p>
    <w:p w14:paraId="6D0BADB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sz w:val="32"/>
          <w:szCs w:val="32"/>
        </w:rPr>
      </w:pPr>
      <w:bookmarkStart w:id="3" w:name="tip_risk_bookmark_4"/>
      <w:r>
        <w:rPr>
          <w:rFonts w:hint="eastAsia" w:ascii="仿宋" w:hAnsi="仿宋" w:eastAsia="仿宋" w:cs="仿宋"/>
          <w:sz w:val="32"/>
          <w:szCs w:val="32"/>
        </w:rPr>
        <w:t>4、开标时间：</w:t>
      </w: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12</w:t>
      </w:r>
      <w:r>
        <w:rPr>
          <w:rFonts w:hint="eastAsia" w:ascii="仿宋" w:hAnsi="仿宋" w:eastAsia="仿宋" w:cs="仿宋"/>
          <w:sz w:val="32"/>
          <w:szCs w:val="32"/>
        </w:rPr>
        <w:t>日</w:t>
      </w:r>
      <w:r>
        <w:rPr>
          <w:rFonts w:hint="eastAsia" w:ascii="仿宋" w:hAnsi="仿宋" w:eastAsia="仿宋" w:cs="仿宋"/>
          <w:sz w:val="32"/>
          <w:szCs w:val="32"/>
          <w:lang w:val="en-US" w:eastAsia="zh-CN"/>
        </w:rPr>
        <w:t>15:00</w:t>
      </w:r>
      <w:r>
        <w:rPr>
          <w:rFonts w:hint="eastAsia" w:ascii="仿宋" w:hAnsi="仿宋" w:eastAsia="仿宋" w:cs="仿宋"/>
          <w:sz w:val="32"/>
          <w:szCs w:val="32"/>
        </w:rPr>
        <w:t>（北京时间）</w:t>
      </w:r>
      <w:bookmarkEnd w:id="3"/>
    </w:p>
    <w:p w14:paraId="2B8C42D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sz w:val="32"/>
          <w:szCs w:val="32"/>
        </w:rPr>
        <w:t>5、开标地点：怀化市第五人民医院</w:t>
      </w:r>
      <w:r>
        <w:rPr>
          <w:rFonts w:hint="eastAsia" w:ascii="仿宋" w:hAnsi="仿宋" w:eastAsia="仿宋" w:cs="仿宋"/>
          <w:sz w:val="32"/>
          <w:szCs w:val="32"/>
          <w:lang w:eastAsia="zh-CN"/>
        </w:rPr>
        <w:t>行政四楼开标室</w:t>
      </w:r>
    </w:p>
    <w:p w14:paraId="4FE4EF5B">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仿宋" w:hAnsi="仿宋" w:eastAsia="仿宋" w:cs="仿宋"/>
          <w:bCs/>
          <w:sz w:val="32"/>
          <w:szCs w:val="32"/>
        </w:rPr>
      </w:pPr>
      <w:r>
        <w:rPr>
          <w:rFonts w:hint="eastAsia" w:ascii="黑体" w:hAnsi="黑体" w:eastAsia="黑体" w:cs="黑体"/>
          <w:kern w:val="0"/>
          <w:sz w:val="32"/>
          <w:szCs w:val="32"/>
        </w:rPr>
        <w:t>四、</w:t>
      </w:r>
      <w:r>
        <w:rPr>
          <w:rFonts w:hint="eastAsia" w:ascii="黑体" w:hAnsi="黑体" w:eastAsia="黑体" w:cs="黑体"/>
          <w:bCs/>
          <w:sz w:val="32"/>
          <w:szCs w:val="32"/>
        </w:rPr>
        <w:t>联系方式</w:t>
      </w:r>
    </w:p>
    <w:p w14:paraId="7E250AD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bCs/>
          <w:color w:val="000000"/>
          <w:sz w:val="32"/>
          <w:szCs w:val="32"/>
        </w:rPr>
      </w:pPr>
      <w:r>
        <w:rPr>
          <w:rFonts w:hint="eastAsia" w:ascii="仿宋" w:hAnsi="仿宋" w:eastAsia="仿宋" w:cs="仿宋"/>
          <w:color w:val="000000"/>
          <w:sz w:val="32"/>
          <w:szCs w:val="32"/>
        </w:rPr>
        <w:t>采购人：</w:t>
      </w:r>
      <w:r>
        <w:rPr>
          <w:rFonts w:hint="eastAsia" w:ascii="仿宋" w:hAnsi="仿宋" w:eastAsia="仿宋" w:cs="仿宋"/>
          <w:sz w:val="32"/>
          <w:szCs w:val="32"/>
        </w:rPr>
        <w:t>怀化市第五人民医院</w:t>
      </w:r>
    </w:p>
    <w:p w14:paraId="4EEA3FD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color w:val="000000"/>
          <w:sz w:val="32"/>
          <w:szCs w:val="32"/>
        </w:rPr>
      </w:pPr>
      <w:r>
        <w:rPr>
          <w:rFonts w:hint="eastAsia" w:ascii="仿宋" w:hAnsi="仿宋" w:eastAsia="仿宋" w:cs="仿宋"/>
          <w:color w:val="000000"/>
          <w:sz w:val="32"/>
          <w:szCs w:val="32"/>
        </w:rPr>
        <w:t>联系人：</w:t>
      </w:r>
      <w:r>
        <w:rPr>
          <w:rFonts w:hint="eastAsia" w:ascii="仿宋" w:hAnsi="仿宋" w:eastAsia="仿宋" w:cs="仿宋"/>
          <w:color w:val="000000"/>
          <w:sz w:val="32"/>
          <w:szCs w:val="32"/>
          <w:lang w:eastAsia="zh-CN"/>
        </w:rPr>
        <w:t>殷先生</w:t>
      </w:r>
      <w:r>
        <w:rPr>
          <w:rFonts w:hint="eastAsia" w:ascii="仿宋" w:hAnsi="仿宋" w:eastAsia="仿宋" w:cs="仿宋"/>
          <w:color w:val="000000"/>
          <w:sz w:val="32"/>
          <w:szCs w:val="32"/>
          <w:lang w:val="en-US" w:eastAsia="zh-CN"/>
        </w:rPr>
        <w:t xml:space="preserve"> 18307415654</w:t>
      </w:r>
      <w:r>
        <w:rPr>
          <w:rFonts w:hint="eastAsia" w:ascii="仿宋" w:hAnsi="仿宋" w:eastAsia="仿宋" w:cs="仿宋"/>
          <w:color w:val="000000"/>
          <w:sz w:val="32"/>
          <w:szCs w:val="32"/>
        </w:rPr>
        <w:t xml:space="preserve"> </w:t>
      </w:r>
    </w:p>
    <w:p w14:paraId="6072581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电  话：</w:t>
      </w:r>
      <w:r>
        <w:rPr>
          <w:rFonts w:hint="eastAsia" w:ascii="仿宋" w:hAnsi="仿宋" w:eastAsia="仿宋" w:cs="仿宋"/>
          <w:color w:val="000000"/>
          <w:sz w:val="32"/>
          <w:szCs w:val="32"/>
          <w:lang w:val="en-US" w:eastAsia="zh-CN"/>
        </w:rPr>
        <w:t>0745-</w:t>
      </w:r>
      <w:r>
        <w:rPr>
          <w:rFonts w:hint="eastAsia" w:ascii="仿宋" w:hAnsi="仿宋" w:eastAsia="仿宋" w:cs="仿宋"/>
          <w:color w:val="auto"/>
          <w:sz w:val="32"/>
          <w:szCs w:val="32"/>
          <w:lang w:val="en-US" w:eastAsia="zh-CN"/>
        </w:rPr>
        <w:t>2788939</w:t>
      </w:r>
      <w:r>
        <w:rPr>
          <w:rFonts w:hint="eastAsia" w:ascii="仿宋" w:hAnsi="仿宋" w:eastAsia="仿宋" w:cs="仿宋"/>
          <w:color w:val="000000"/>
          <w:sz w:val="32"/>
          <w:szCs w:val="32"/>
          <w:lang w:val="en-US" w:eastAsia="zh-CN"/>
        </w:rPr>
        <w:t xml:space="preserve">  </w:t>
      </w:r>
    </w:p>
    <w:p w14:paraId="4D5FEC23">
      <w:pPr>
        <w:tabs>
          <w:tab w:val="left" w:pos="7529"/>
        </w:tabs>
        <w:bidi w:val="0"/>
        <w:jc w:val="left"/>
        <w:rPr>
          <w:rFonts w:hint="eastAsia"/>
          <w:lang w:val="en-US" w:eastAsia="zh-CN"/>
        </w:rPr>
      </w:pPr>
    </w:p>
    <w:p w14:paraId="4B2F5DFA">
      <w:pPr>
        <w:tabs>
          <w:tab w:val="left" w:pos="7529"/>
        </w:tabs>
        <w:bidi w:val="0"/>
        <w:jc w:val="left"/>
        <w:rPr>
          <w:rFonts w:hint="eastAsia"/>
          <w:lang w:val="en-US" w:eastAsia="zh-CN"/>
        </w:rPr>
      </w:pPr>
    </w:p>
    <w:p w14:paraId="29860F79">
      <w:pPr>
        <w:tabs>
          <w:tab w:val="left" w:pos="7529"/>
        </w:tabs>
        <w:bidi w:val="0"/>
        <w:jc w:val="left"/>
        <w:rPr>
          <w:rFonts w:hint="eastAsia"/>
          <w:lang w:val="en-US" w:eastAsia="zh-CN"/>
        </w:rPr>
      </w:pPr>
    </w:p>
    <w:p w14:paraId="5DF5AE3D">
      <w:pPr>
        <w:tabs>
          <w:tab w:val="left" w:pos="7529"/>
        </w:tabs>
        <w:bidi w:val="0"/>
        <w:jc w:val="left"/>
        <w:rPr>
          <w:rFonts w:hint="eastAsia"/>
          <w:lang w:val="en-US" w:eastAsia="zh-CN"/>
        </w:rPr>
      </w:pPr>
    </w:p>
    <w:p w14:paraId="2780B8D0">
      <w:pPr>
        <w:tabs>
          <w:tab w:val="left" w:pos="7529"/>
        </w:tabs>
        <w:bidi w:val="0"/>
        <w:jc w:val="left"/>
        <w:rPr>
          <w:rFonts w:hint="eastAsia"/>
          <w:lang w:val="en-US" w:eastAsia="zh-CN"/>
        </w:rPr>
      </w:pPr>
    </w:p>
    <w:p w14:paraId="3B1C5C18">
      <w:pPr>
        <w:tabs>
          <w:tab w:val="left" w:pos="7529"/>
        </w:tabs>
        <w:bidi w:val="0"/>
        <w:jc w:val="left"/>
        <w:rPr>
          <w:rFonts w:hint="eastAsia"/>
          <w:lang w:val="en-US" w:eastAsia="zh-CN"/>
        </w:rPr>
      </w:pPr>
    </w:p>
    <w:p w14:paraId="7DB0BE76">
      <w:pPr>
        <w:tabs>
          <w:tab w:val="left" w:pos="7529"/>
        </w:tabs>
        <w:bidi w:val="0"/>
        <w:jc w:val="left"/>
        <w:rPr>
          <w:rFonts w:hint="eastAsia"/>
          <w:lang w:val="en-US" w:eastAsia="zh-CN"/>
        </w:rPr>
      </w:pPr>
    </w:p>
    <w:p w14:paraId="1D5152B6">
      <w:pPr>
        <w:tabs>
          <w:tab w:val="left" w:pos="7529"/>
        </w:tabs>
        <w:bidi w:val="0"/>
        <w:jc w:val="left"/>
        <w:rPr>
          <w:rFonts w:hint="eastAsia"/>
          <w:lang w:val="en-US" w:eastAsia="zh-CN"/>
        </w:rPr>
      </w:pPr>
    </w:p>
    <w:p w14:paraId="0C1CA272">
      <w:pPr>
        <w:pStyle w:val="12"/>
        <w:numPr>
          <w:ilvl w:val="0"/>
          <w:numId w:val="0"/>
        </w:numPr>
        <w:adjustRightInd w:val="0"/>
        <w:snapToGrid w:val="0"/>
        <w:spacing w:line="360" w:lineRule="auto"/>
        <w:jc w:val="center"/>
        <w:rPr>
          <w:rFonts w:hint="eastAsia" w:ascii="宋体" w:hAnsi="宋体" w:eastAsia="宋体" w:cs="宋体"/>
          <w:b/>
          <w:bCs/>
          <w:color w:val="000000"/>
          <w:sz w:val="44"/>
          <w:szCs w:val="44"/>
        </w:rPr>
      </w:pPr>
      <w:r>
        <w:rPr>
          <w:rFonts w:hint="eastAsia" w:ascii="宋体" w:hAnsi="宋体" w:eastAsia="宋体" w:cs="宋体"/>
          <w:b/>
          <w:bCs/>
          <w:color w:val="000000"/>
          <w:sz w:val="44"/>
          <w:szCs w:val="44"/>
        </w:rPr>
        <w:t>第二章  投标资料表</w:t>
      </w:r>
    </w:p>
    <w:tbl>
      <w:tblPr>
        <w:tblStyle w:val="8"/>
        <w:tblW w:w="926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65"/>
        <w:gridCol w:w="8498"/>
      </w:tblGrid>
      <w:tr w14:paraId="4A5D1B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765" w:type="dxa"/>
            <w:tcBorders>
              <w:top w:val="single" w:color="auto" w:sz="12" w:space="0"/>
            </w:tcBorders>
            <w:vAlign w:val="center"/>
          </w:tcPr>
          <w:p w14:paraId="44636DBE">
            <w:pPr>
              <w:jc w:val="center"/>
              <w:rPr>
                <w:rFonts w:ascii="仿宋" w:hAnsi="仿宋" w:eastAsia="仿宋" w:cs="仿宋"/>
                <w:color w:val="000000"/>
                <w:sz w:val="24"/>
                <w:szCs w:val="24"/>
              </w:rPr>
            </w:pPr>
            <w:r>
              <w:rPr>
                <w:rFonts w:hint="eastAsia" w:ascii="仿宋" w:hAnsi="仿宋" w:eastAsia="仿宋" w:cs="仿宋"/>
                <w:color w:val="000000"/>
                <w:sz w:val="24"/>
                <w:szCs w:val="24"/>
              </w:rPr>
              <w:t>条款项号</w:t>
            </w:r>
          </w:p>
        </w:tc>
        <w:tc>
          <w:tcPr>
            <w:tcW w:w="8498" w:type="dxa"/>
            <w:tcBorders>
              <w:top w:val="single" w:color="auto" w:sz="12" w:space="0"/>
            </w:tcBorders>
            <w:vAlign w:val="center"/>
          </w:tcPr>
          <w:p w14:paraId="6AFF85E8">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内     容</w:t>
            </w:r>
          </w:p>
        </w:tc>
      </w:tr>
      <w:tr w14:paraId="2BFD6B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9263" w:type="dxa"/>
            <w:gridSpan w:val="2"/>
            <w:vAlign w:val="center"/>
          </w:tcPr>
          <w:p w14:paraId="1D437247">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一、说明</w:t>
            </w:r>
          </w:p>
        </w:tc>
      </w:tr>
      <w:tr w14:paraId="655CA9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765" w:type="dxa"/>
            <w:vAlign w:val="center"/>
          </w:tcPr>
          <w:p w14:paraId="5E0D626C">
            <w:pPr>
              <w:jc w:val="center"/>
              <w:rPr>
                <w:rFonts w:ascii="仿宋" w:hAnsi="仿宋" w:eastAsia="仿宋" w:cs="仿宋"/>
                <w:color w:val="000000"/>
                <w:sz w:val="24"/>
                <w:szCs w:val="24"/>
              </w:rPr>
            </w:pPr>
            <w:r>
              <w:rPr>
                <w:rFonts w:hint="eastAsia" w:ascii="仿宋" w:hAnsi="仿宋" w:eastAsia="仿宋" w:cs="仿宋"/>
                <w:color w:val="000000"/>
                <w:sz w:val="24"/>
                <w:szCs w:val="24"/>
              </w:rPr>
              <w:t>1.1</w:t>
            </w:r>
          </w:p>
        </w:tc>
        <w:tc>
          <w:tcPr>
            <w:tcW w:w="8498" w:type="dxa"/>
            <w:vAlign w:val="center"/>
          </w:tcPr>
          <w:p w14:paraId="15766160">
            <w:pPr>
              <w:rPr>
                <w:rFonts w:ascii="仿宋" w:hAnsi="仿宋" w:eastAsia="仿宋" w:cs="仿宋"/>
                <w:b/>
                <w:bCs/>
                <w:color w:val="000000"/>
                <w:sz w:val="24"/>
                <w:szCs w:val="24"/>
              </w:rPr>
            </w:pPr>
            <w:r>
              <w:rPr>
                <w:rFonts w:hint="eastAsia" w:ascii="仿宋" w:hAnsi="仿宋" w:eastAsia="仿宋" w:cs="仿宋"/>
                <w:color w:val="000000"/>
                <w:sz w:val="24"/>
                <w:szCs w:val="24"/>
              </w:rPr>
              <w:t>采购人名称：怀化市第五人民医院</w:t>
            </w:r>
          </w:p>
        </w:tc>
      </w:tr>
      <w:tr w14:paraId="37012A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263" w:type="dxa"/>
            <w:gridSpan w:val="2"/>
            <w:vAlign w:val="center"/>
          </w:tcPr>
          <w:p w14:paraId="7F685773">
            <w:pPr>
              <w:jc w:val="center"/>
              <w:rPr>
                <w:rFonts w:ascii="仿宋" w:hAnsi="仿宋" w:eastAsia="仿宋" w:cs="仿宋"/>
                <w:color w:val="000000"/>
                <w:sz w:val="24"/>
                <w:szCs w:val="24"/>
              </w:rPr>
            </w:pPr>
            <w:r>
              <w:rPr>
                <w:rFonts w:hint="eastAsia" w:ascii="仿宋" w:hAnsi="仿宋" w:eastAsia="仿宋" w:cs="仿宋"/>
                <w:b/>
                <w:bCs/>
                <w:color w:val="000000"/>
                <w:sz w:val="24"/>
                <w:szCs w:val="24"/>
              </w:rPr>
              <w:t>二、招标文件</w:t>
            </w:r>
          </w:p>
        </w:tc>
      </w:tr>
      <w:tr w14:paraId="59EBB1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765" w:type="dxa"/>
            <w:vAlign w:val="center"/>
          </w:tcPr>
          <w:p w14:paraId="7A27DB59">
            <w:pPr>
              <w:jc w:val="center"/>
              <w:rPr>
                <w:rFonts w:ascii="仿宋" w:hAnsi="仿宋" w:eastAsia="仿宋" w:cs="仿宋"/>
                <w:color w:val="000000"/>
                <w:sz w:val="24"/>
                <w:szCs w:val="24"/>
              </w:rPr>
            </w:pPr>
            <w:r>
              <w:rPr>
                <w:rFonts w:hint="eastAsia" w:ascii="仿宋" w:hAnsi="仿宋" w:eastAsia="仿宋" w:cs="仿宋"/>
                <w:color w:val="000000"/>
                <w:sz w:val="24"/>
                <w:szCs w:val="24"/>
              </w:rPr>
              <w:t>2.1</w:t>
            </w:r>
          </w:p>
        </w:tc>
        <w:tc>
          <w:tcPr>
            <w:tcW w:w="8498" w:type="dxa"/>
            <w:vAlign w:val="center"/>
          </w:tcPr>
          <w:p w14:paraId="04AC09B9">
            <w:pPr>
              <w:adjustRightInd w:val="0"/>
              <w:snapToGrid w:val="0"/>
              <w:rPr>
                <w:rFonts w:ascii="仿宋" w:hAnsi="仿宋" w:eastAsia="仿宋" w:cs="仿宋"/>
                <w:color w:val="000000"/>
                <w:sz w:val="24"/>
                <w:szCs w:val="24"/>
              </w:rPr>
            </w:pPr>
            <w:r>
              <w:rPr>
                <w:rFonts w:hint="eastAsia" w:ascii="仿宋" w:hAnsi="仿宋" w:eastAsia="仿宋" w:cs="仿宋"/>
                <w:color w:val="000000"/>
                <w:sz w:val="24"/>
                <w:szCs w:val="24"/>
              </w:rPr>
              <w:t>集中答疑会或现场考察：不举行。</w:t>
            </w:r>
          </w:p>
        </w:tc>
      </w:tr>
      <w:tr w14:paraId="5DAF9C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263" w:type="dxa"/>
            <w:gridSpan w:val="2"/>
            <w:vAlign w:val="center"/>
          </w:tcPr>
          <w:p w14:paraId="223DCA30">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三、投标文件的编制</w:t>
            </w:r>
          </w:p>
        </w:tc>
      </w:tr>
      <w:tr w14:paraId="1A10D2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765" w:type="dxa"/>
            <w:vAlign w:val="center"/>
          </w:tcPr>
          <w:p w14:paraId="1AD27E29">
            <w:pPr>
              <w:jc w:val="center"/>
              <w:rPr>
                <w:rFonts w:ascii="仿宋" w:hAnsi="仿宋" w:eastAsia="仿宋" w:cs="仿宋"/>
                <w:color w:val="000000"/>
                <w:sz w:val="24"/>
                <w:szCs w:val="24"/>
              </w:rPr>
            </w:pPr>
            <w:r>
              <w:rPr>
                <w:rFonts w:hint="eastAsia" w:ascii="仿宋" w:hAnsi="仿宋" w:eastAsia="仿宋" w:cs="仿宋"/>
                <w:color w:val="000000"/>
                <w:sz w:val="24"/>
                <w:szCs w:val="24"/>
              </w:rPr>
              <w:t>3.1</w:t>
            </w:r>
          </w:p>
        </w:tc>
        <w:tc>
          <w:tcPr>
            <w:tcW w:w="8498" w:type="dxa"/>
            <w:vAlign w:val="center"/>
          </w:tcPr>
          <w:p w14:paraId="7ABA3837">
            <w:pPr>
              <w:adjustRightInd w:val="0"/>
              <w:snapToGrid w:val="0"/>
              <w:spacing w:line="440" w:lineRule="exact"/>
              <w:rPr>
                <w:rFonts w:ascii="仿宋" w:hAnsi="仿宋" w:eastAsia="仿宋" w:cs="仿宋"/>
                <w:color w:val="000000"/>
                <w:sz w:val="24"/>
                <w:szCs w:val="24"/>
              </w:rPr>
            </w:pPr>
            <w:r>
              <w:rPr>
                <w:rFonts w:hint="eastAsia" w:ascii="仿宋" w:hAnsi="仿宋" w:eastAsia="仿宋" w:cs="仿宋"/>
                <w:color w:val="000000"/>
                <w:sz w:val="24"/>
                <w:szCs w:val="24"/>
              </w:rPr>
              <w:t>（境内货物）其他伴随的服务费用：运至最终目的地的内陆运输、保险、安装、调试、验收、培训及伴随货物交运有关费用和标准附件价、备品备件及专用工具。</w:t>
            </w:r>
          </w:p>
        </w:tc>
      </w:tr>
      <w:tr w14:paraId="1CD6D2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65" w:type="dxa"/>
            <w:vAlign w:val="center"/>
          </w:tcPr>
          <w:p w14:paraId="03EF641F">
            <w:pPr>
              <w:jc w:val="center"/>
              <w:rPr>
                <w:rFonts w:ascii="仿宋" w:hAnsi="仿宋" w:eastAsia="仿宋" w:cs="仿宋"/>
                <w:dstrike/>
                <w:color w:val="000000"/>
                <w:sz w:val="24"/>
                <w:szCs w:val="24"/>
                <w:em w:val="dot"/>
              </w:rPr>
            </w:pPr>
            <w:r>
              <w:rPr>
                <w:rFonts w:hint="eastAsia" w:ascii="仿宋" w:hAnsi="仿宋" w:eastAsia="仿宋" w:cs="仿宋"/>
                <w:color w:val="000000"/>
                <w:sz w:val="24"/>
                <w:szCs w:val="24"/>
              </w:rPr>
              <w:t>3.2</w:t>
            </w:r>
          </w:p>
        </w:tc>
        <w:tc>
          <w:tcPr>
            <w:tcW w:w="8498" w:type="dxa"/>
            <w:vAlign w:val="center"/>
          </w:tcPr>
          <w:p w14:paraId="7FF3E5A8">
            <w:pPr>
              <w:adjustRightInd w:val="0"/>
              <w:snapToGrid w:val="0"/>
              <w:spacing w:line="440" w:lineRule="exact"/>
              <w:ind w:left="210" w:hanging="210"/>
              <w:rPr>
                <w:rFonts w:ascii="仿宋" w:hAnsi="仿宋" w:eastAsia="仿宋" w:cs="仿宋"/>
                <w:color w:val="000000"/>
                <w:sz w:val="24"/>
                <w:szCs w:val="24"/>
              </w:rPr>
            </w:pPr>
            <w:r>
              <w:rPr>
                <w:rFonts w:hint="eastAsia" w:ascii="仿宋" w:hAnsi="仿宋" w:eastAsia="仿宋" w:cs="仿宋"/>
                <w:color w:val="000000"/>
                <w:sz w:val="24"/>
                <w:szCs w:val="24"/>
              </w:rPr>
              <w:t>（境外货物）</w:t>
            </w:r>
            <w:r>
              <w:rPr>
                <w:rFonts w:hint="eastAsia" w:ascii="仿宋" w:hAnsi="仿宋" w:eastAsia="仿宋" w:cs="仿宋"/>
                <w:color w:val="000000"/>
                <w:sz w:val="24"/>
                <w:szCs w:val="24"/>
                <w:lang w:val="zh-CN"/>
              </w:rPr>
              <w:t>进口环节关税和增值税：无</w:t>
            </w:r>
          </w:p>
        </w:tc>
      </w:tr>
      <w:tr w14:paraId="0C18DD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765" w:type="dxa"/>
            <w:vAlign w:val="center"/>
          </w:tcPr>
          <w:p w14:paraId="4170E92F">
            <w:pPr>
              <w:jc w:val="center"/>
              <w:rPr>
                <w:rFonts w:ascii="仿宋" w:hAnsi="仿宋" w:eastAsia="仿宋" w:cs="仿宋"/>
                <w:color w:val="000000"/>
                <w:sz w:val="24"/>
                <w:szCs w:val="24"/>
              </w:rPr>
            </w:pPr>
            <w:r>
              <w:rPr>
                <w:rFonts w:hint="eastAsia" w:ascii="仿宋" w:hAnsi="仿宋" w:eastAsia="仿宋" w:cs="仿宋"/>
                <w:color w:val="000000"/>
                <w:sz w:val="24"/>
                <w:szCs w:val="24"/>
              </w:rPr>
              <w:t>3.3</w:t>
            </w:r>
          </w:p>
        </w:tc>
        <w:tc>
          <w:tcPr>
            <w:tcW w:w="8498" w:type="dxa"/>
            <w:vAlign w:val="center"/>
          </w:tcPr>
          <w:p w14:paraId="53B239E9">
            <w:pPr>
              <w:adjustRightInd w:val="0"/>
              <w:snapToGrid w:val="0"/>
              <w:spacing w:line="440" w:lineRule="exact"/>
              <w:rPr>
                <w:rFonts w:ascii="仿宋" w:hAnsi="仿宋" w:eastAsia="仿宋" w:cs="仿宋"/>
                <w:color w:val="000000"/>
                <w:sz w:val="24"/>
                <w:szCs w:val="24"/>
              </w:rPr>
            </w:pPr>
            <w:r>
              <w:rPr>
                <w:rFonts w:hint="eastAsia" w:ascii="仿宋" w:hAnsi="仿宋" w:eastAsia="仿宋" w:cs="仿宋"/>
                <w:color w:val="000000"/>
                <w:sz w:val="24"/>
                <w:szCs w:val="24"/>
              </w:rPr>
              <w:t>（境外货物）其他伴随的服务费用：无</w:t>
            </w:r>
          </w:p>
        </w:tc>
      </w:tr>
      <w:tr w14:paraId="0E2777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65" w:type="dxa"/>
            <w:vAlign w:val="center"/>
          </w:tcPr>
          <w:p w14:paraId="56E96359">
            <w:pPr>
              <w:jc w:val="center"/>
              <w:rPr>
                <w:rFonts w:ascii="仿宋" w:hAnsi="仿宋" w:eastAsia="仿宋" w:cs="仿宋"/>
                <w:color w:val="000000"/>
                <w:sz w:val="24"/>
                <w:szCs w:val="24"/>
              </w:rPr>
            </w:pPr>
            <w:r>
              <w:rPr>
                <w:rFonts w:hint="eastAsia" w:ascii="仿宋" w:hAnsi="仿宋" w:eastAsia="仿宋" w:cs="仿宋"/>
                <w:color w:val="000000"/>
                <w:sz w:val="24"/>
                <w:szCs w:val="24"/>
              </w:rPr>
              <w:t>3.4</w:t>
            </w:r>
          </w:p>
        </w:tc>
        <w:tc>
          <w:tcPr>
            <w:tcW w:w="8498" w:type="dxa"/>
            <w:vAlign w:val="center"/>
          </w:tcPr>
          <w:p w14:paraId="387CD59A">
            <w:pPr>
              <w:spacing w:line="440" w:lineRule="exact"/>
              <w:rPr>
                <w:rFonts w:ascii="仿宋" w:hAnsi="仿宋" w:eastAsia="仿宋" w:cs="仿宋"/>
                <w:color w:val="000000"/>
                <w:sz w:val="24"/>
                <w:szCs w:val="24"/>
              </w:rPr>
            </w:pPr>
            <w:r>
              <w:rPr>
                <w:rFonts w:hint="eastAsia" w:ascii="仿宋" w:hAnsi="仿宋" w:eastAsia="仿宋" w:cs="仿宋"/>
                <w:color w:val="000000"/>
                <w:sz w:val="24"/>
                <w:szCs w:val="24"/>
              </w:rPr>
              <w:t>投标人所报的投标价在合同执行过程中是固定不变的，不得以任何理由变更。</w:t>
            </w:r>
          </w:p>
        </w:tc>
      </w:tr>
      <w:tr w14:paraId="55E91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65" w:type="dxa"/>
            <w:vAlign w:val="center"/>
          </w:tcPr>
          <w:p w14:paraId="673D8ADD">
            <w:pPr>
              <w:jc w:val="center"/>
              <w:rPr>
                <w:rFonts w:ascii="仿宋" w:hAnsi="仿宋" w:eastAsia="仿宋" w:cs="仿宋"/>
                <w:color w:val="000000"/>
                <w:sz w:val="24"/>
                <w:szCs w:val="24"/>
              </w:rPr>
            </w:pPr>
            <w:r>
              <w:rPr>
                <w:rFonts w:hint="eastAsia" w:ascii="仿宋" w:hAnsi="仿宋" w:eastAsia="仿宋" w:cs="仿宋"/>
                <w:color w:val="000000"/>
                <w:sz w:val="24"/>
                <w:szCs w:val="24"/>
              </w:rPr>
              <w:t>3.5</w:t>
            </w:r>
          </w:p>
        </w:tc>
        <w:tc>
          <w:tcPr>
            <w:tcW w:w="8498" w:type="dxa"/>
            <w:vAlign w:val="center"/>
          </w:tcPr>
          <w:p w14:paraId="51FB032A">
            <w:pPr>
              <w:spacing w:line="440" w:lineRule="exact"/>
              <w:rPr>
                <w:rFonts w:ascii="仿宋" w:hAnsi="仿宋" w:eastAsia="仿宋" w:cs="仿宋"/>
                <w:color w:val="000000"/>
                <w:sz w:val="24"/>
                <w:szCs w:val="24"/>
              </w:rPr>
            </w:pPr>
            <w:r>
              <w:rPr>
                <w:rFonts w:hint="eastAsia" w:ascii="仿宋" w:hAnsi="仿宋" w:eastAsia="仿宋" w:cs="仿宋"/>
                <w:color w:val="000000"/>
                <w:sz w:val="24"/>
                <w:szCs w:val="24"/>
              </w:rPr>
              <w:t>不允许有备选方案，否则将被视为无效投标。</w:t>
            </w:r>
          </w:p>
        </w:tc>
      </w:tr>
      <w:tr w14:paraId="16FBAD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65" w:type="dxa"/>
            <w:vAlign w:val="center"/>
          </w:tcPr>
          <w:p w14:paraId="22667B62">
            <w:pPr>
              <w:jc w:val="center"/>
              <w:rPr>
                <w:rFonts w:ascii="仿宋" w:hAnsi="仿宋" w:eastAsia="仿宋" w:cs="仿宋"/>
                <w:color w:val="000000"/>
                <w:sz w:val="24"/>
                <w:szCs w:val="24"/>
              </w:rPr>
            </w:pPr>
            <w:r>
              <w:rPr>
                <w:rFonts w:hint="eastAsia" w:ascii="仿宋" w:hAnsi="仿宋" w:eastAsia="仿宋" w:cs="仿宋"/>
                <w:color w:val="000000"/>
                <w:sz w:val="24"/>
                <w:szCs w:val="24"/>
              </w:rPr>
              <w:t>3.6</w:t>
            </w:r>
          </w:p>
        </w:tc>
        <w:tc>
          <w:tcPr>
            <w:tcW w:w="8498" w:type="dxa"/>
            <w:vAlign w:val="center"/>
          </w:tcPr>
          <w:p w14:paraId="623FD2D0">
            <w:pPr>
              <w:adjustRightInd w:val="0"/>
              <w:snapToGrid w:val="0"/>
              <w:rPr>
                <w:rFonts w:ascii="仿宋" w:hAnsi="仿宋" w:eastAsia="仿宋" w:cs="仿宋"/>
                <w:color w:val="000000"/>
                <w:sz w:val="24"/>
                <w:szCs w:val="24"/>
              </w:rPr>
            </w:pPr>
            <w:r>
              <w:rPr>
                <w:rFonts w:hint="eastAsia" w:ascii="仿宋" w:hAnsi="仿宋" w:eastAsia="仿宋" w:cs="仿宋"/>
                <w:color w:val="000000"/>
                <w:sz w:val="24"/>
                <w:szCs w:val="24"/>
              </w:rPr>
              <w:t>不允许附加条件报价，否则将被视为无效投标。</w:t>
            </w:r>
          </w:p>
        </w:tc>
      </w:tr>
      <w:tr w14:paraId="3214A0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765" w:type="dxa"/>
            <w:vAlign w:val="center"/>
          </w:tcPr>
          <w:p w14:paraId="14354C6B">
            <w:pPr>
              <w:jc w:val="center"/>
              <w:rPr>
                <w:rFonts w:ascii="仿宋" w:hAnsi="仿宋" w:eastAsia="仿宋" w:cs="仿宋"/>
                <w:color w:val="000000"/>
                <w:sz w:val="24"/>
                <w:szCs w:val="24"/>
              </w:rPr>
            </w:pPr>
            <w:r>
              <w:rPr>
                <w:rFonts w:hint="eastAsia" w:ascii="仿宋" w:hAnsi="仿宋" w:eastAsia="仿宋" w:cs="仿宋"/>
                <w:color w:val="000000"/>
                <w:sz w:val="24"/>
                <w:szCs w:val="24"/>
              </w:rPr>
              <w:t>3.7</w:t>
            </w:r>
          </w:p>
        </w:tc>
        <w:tc>
          <w:tcPr>
            <w:tcW w:w="8498" w:type="dxa"/>
            <w:vAlign w:val="center"/>
          </w:tcPr>
          <w:p w14:paraId="2F687003">
            <w:pPr>
              <w:rPr>
                <w:rFonts w:ascii="仿宋" w:hAnsi="仿宋" w:eastAsia="仿宋" w:cs="仿宋"/>
                <w:color w:val="000000"/>
                <w:sz w:val="24"/>
                <w:szCs w:val="24"/>
              </w:rPr>
            </w:pPr>
            <w:r>
              <w:rPr>
                <w:rFonts w:hint="eastAsia" w:ascii="仿宋" w:hAnsi="仿宋" w:eastAsia="仿宋" w:cs="仿宋"/>
                <w:color w:val="000000"/>
                <w:sz w:val="24"/>
                <w:szCs w:val="24"/>
              </w:rPr>
              <w:t>投标有效期：</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0天。（</w:t>
            </w:r>
            <w:r>
              <w:rPr>
                <w:rFonts w:hint="eastAsia" w:ascii="仿宋" w:hAnsi="仿宋" w:eastAsia="仿宋" w:cs="仿宋"/>
                <w:sz w:val="24"/>
                <w:szCs w:val="24"/>
              </w:rPr>
              <w:t>自响应文件提交截止日计算</w:t>
            </w:r>
            <w:r>
              <w:rPr>
                <w:rFonts w:hint="eastAsia" w:ascii="仿宋" w:hAnsi="仿宋" w:eastAsia="仿宋" w:cs="仿宋"/>
                <w:color w:val="000000"/>
                <w:sz w:val="24"/>
                <w:szCs w:val="24"/>
              </w:rPr>
              <w:t>）</w:t>
            </w:r>
          </w:p>
        </w:tc>
      </w:tr>
      <w:tr w14:paraId="45438B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5" w:type="dxa"/>
            <w:vAlign w:val="center"/>
          </w:tcPr>
          <w:p w14:paraId="00032874">
            <w:pPr>
              <w:jc w:val="center"/>
              <w:rPr>
                <w:rFonts w:ascii="仿宋" w:hAnsi="仿宋" w:eastAsia="仿宋" w:cs="仿宋"/>
                <w:color w:val="000000"/>
                <w:sz w:val="24"/>
                <w:szCs w:val="24"/>
              </w:rPr>
            </w:pPr>
            <w:r>
              <w:rPr>
                <w:rFonts w:hint="eastAsia" w:ascii="仿宋" w:hAnsi="仿宋" w:eastAsia="仿宋" w:cs="仿宋"/>
                <w:color w:val="000000"/>
                <w:sz w:val="24"/>
                <w:szCs w:val="24"/>
              </w:rPr>
              <w:t>3.8</w:t>
            </w:r>
          </w:p>
        </w:tc>
        <w:tc>
          <w:tcPr>
            <w:tcW w:w="8498" w:type="dxa"/>
            <w:vAlign w:val="center"/>
          </w:tcPr>
          <w:p w14:paraId="343B1219">
            <w:pPr>
              <w:rPr>
                <w:rFonts w:hint="eastAsia" w:ascii="仿宋" w:hAnsi="仿宋" w:eastAsia="宋体" w:cs="仿宋"/>
                <w:color w:val="000000"/>
                <w:sz w:val="24"/>
                <w:szCs w:val="24"/>
                <w:lang w:eastAsia="zh-CN"/>
              </w:rPr>
            </w:pPr>
            <w:r>
              <w:rPr>
                <w:rFonts w:hint="eastAsia" w:ascii="仿宋" w:hAnsi="仿宋" w:eastAsia="仿宋" w:cs="仿宋"/>
                <w:color w:val="000000"/>
                <w:sz w:val="24"/>
                <w:szCs w:val="24"/>
              </w:rPr>
              <w:t>投标文件份数：</w:t>
            </w:r>
            <w:r>
              <w:rPr>
                <w:rFonts w:hint="eastAsia" w:ascii="仿宋" w:hAnsi="仿宋" w:eastAsia="仿宋" w:cs="仿宋"/>
                <w:color w:val="FF0000"/>
                <w:sz w:val="24"/>
                <w:szCs w:val="24"/>
              </w:rPr>
              <w:t>正本一份，副本</w:t>
            </w:r>
            <w:r>
              <w:rPr>
                <w:rFonts w:hint="eastAsia" w:ascii="仿宋" w:hAnsi="仿宋" w:eastAsia="仿宋" w:cs="仿宋"/>
                <w:color w:val="FF0000"/>
                <w:sz w:val="24"/>
                <w:szCs w:val="24"/>
                <w:lang w:eastAsia="zh-CN"/>
              </w:rPr>
              <w:t>一</w:t>
            </w:r>
            <w:r>
              <w:rPr>
                <w:rFonts w:hint="eastAsia" w:ascii="仿宋" w:hAnsi="仿宋" w:eastAsia="仿宋" w:cs="仿宋"/>
                <w:color w:val="FF0000"/>
                <w:sz w:val="24"/>
                <w:szCs w:val="24"/>
              </w:rPr>
              <w:t>份。</w:t>
            </w:r>
            <w:r>
              <w:rPr>
                <w:rFonts w:hint="eastAsia" w:ascii="宋体" w:hAnsi="宋体" w:eastAsia="宋体" w:cs="宋体"/>
                <w:color w:val="FF0000"/>
                <w:sz w:val="24"/>
                <w:szCs w:val="24"/>
              </w:rPr>
              <w:t>加盖投标单位公章</w:t>
            </w:r>
            <w:r>
              <w:rPr>
                <w:rFonts w:hint="eastAsia" w:ascii="宋体" w:hAnsi="宋体" w:eastAsia="宋体" w:cs="宋体"/>
                <w:color w:val="FF0000"/>
                <w:sz w:val="24"/>
                <w:szCs w:val="24"/>
                <w:lang w:eastAsia="zh-CN"/>
              </w:rPr>
              <w:t>。</w:t>
            </w:r>
          </w:p>
        </w:tc>
      </w:tr>
      <w:tr w14:paraId="25CA8E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9263" w:type="dxa"/>
            <w:gridSpan w:val="2"/>
            <w:vAlign w:val="center"/>
          </w:tcPr>
          <w:p w14:paraId="5E841F6A">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四、投标文件的递交</w:t>
            </w:r>
          </w:p>
        </w:tc>
      </w:tr>
      <w:tr w14:paraId="414C56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vAlign w:val="center"/>
          </w:tcPr>
          <w:p w14:paraId="14884BEE">
            <w:pPr>
              <w:jc w:val="center"/>
              <w:rPr>
                <w:rFonts w:ascii="仿宋" w:hAnsi="仿宋" w:eastAsia="仿宋" w:cs="仿宋"/>
                <w:color w:val="000000"/>
                <w:sz w:val="24"/>
                <w:szCs w:val="24"/>
              </w:rPr>
            </w:pPr>
            <w:r>
              <w:rPr>
                <w:rFonts w:hint="eastAsia" w:ascii="仿宋" w:hAnsi="仿宋" w:eastAsia="仿宋" w:cs="仿宋"/>
                <w:color w:val="000000"/>
                <w:sz w:val="24"/>
                <w:szCs w:val="24"/>
              </w:rPr>
              <w:t>4.1</w:t>
            </w:r>
          </w:p>
        </w:tc>
        <w:tc>
          <w:tcPr>
            <w:tcW w:w="8498" w:type="dxa"/>
            <w:vAlign w:val="center"/>
          </w:tcPr>
          <w:p w14:paraId="32A1F3FB">
            <w:pPr>
              <w:ind w:firstLine="480" w:firstLineChars="200"/>
              <w:rPr>
                <w:rFonts w:hint="eastAsia" w:ascii="仿宋" w:hAnsi="仿宋" w:eastAsia="仿宋" w:cs="仿宋"/>
                <w:sz w:val="24"/>
                <w:szCs w:val="24"/>
                <w:lang w:eastAsia="zh-CN"/>
              </w:rPr>
            </w:pPr>
            <w:r>
              <w:rPr>
                <w:rFonts w:hint="eastAsia" w:ascii="仿宋" w:hAnsi="仿宋" w:eastAsia="仿宋" w:cs="仿宋"/>
                <w:sz w:val="24"/>
                <w:szCs w:val="24"/>
              </w:rPr>
              <w:t>投标文件递交</w:t>
            </w:r>
            <w:r>
              <w:rPr>
                <w:rFonts w:hint="eastAsia" w:ascii="仿宋" w:hAnsi="仿宋" w:eastAsia="仿宋" w:cs="仿宋"/>
                <w:sz w:val="24"/>
                <w:szCs w:val="24"/>
                <w:lang w:eastAsia="zh-TW"/>
              </w:rPr>
              <w:t>截止日期和时间</w:t>
            </w:r>
            <w:r>
              <w:rPr>
                <w:rFonts w:hint="eastAsia" w:ascii="仿宋" w:hAnsi="仿宋" w:eastAsia="仿宋" w:cs="仿宋"/>
                <w:sz w:val="24"/>
                <w:szCs w:val="24"/>
              </w:rPr>
              <w:t>、地址：按招标文件第一章投标邀请中规定。</w:t>
            </w:r>
            <w:bookmarkStart w:id="4" w:name="auto_fouce_5"/>
            <w:bookmarkEnd w:id="4"/>
            <w:r>
              <w:rPr>
                <w:rFonts w:hint="eastAsia" w:ascii="仿宋" w:hAnsi="仿宋" w:eastAsia="仿宋" w:cs="仿宋"/>
                <w:sz w:val="24"/>
                <w:szCs w:val="24"/>
              </w:rPr>
              <w:t>存在以下情形之一的投标文件作无效投标处理：（1）未在规定截止时间前递交的；（2）未按招标文件要求密封、加盖公章的；（3）未提供要求的资格证明文件或资格证明文件不符合要求的；（4）投标报价超过本项目预算金额的；（5）不符合本文件规定的其他实质性响应要求的。</w:t>
            </w:r>
          </w:p>
          <w:p w14:paraId="2C7E6740">
            <w:pPr>
              <w:ind w:left="120" w:hanging="120" w:hangingChars="50"/>
              <w:rPr>
                <w:rFonts w:hint="eastAsia" w:ascii="仿宋" w:hAnsi="仿宋" w:eastAsia="仿宋" w:cs="仿宋"/>
                <w:color w:val="000000"/>
                <w:sz w:val="24"/>
                <w:szCs w:val="24"/>
                <w:lang w:eastAsia="zh-CN"/>
              </w:rPr>
            </w:pPr>
          </w:p>
        </w:tc>
      </w:tr>
      <w:tr w14:paraId="4BDF39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9263" w:type="dxa"/>
            <w:gridSpan w:val="2"/>
            <w:shd w:val="clear" w:color="auto" w:fill="auto"/>
            <w:vAlign w:val="center"/>
          </w:tcPr>
          <w:p w14:paraId="1862F944">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b/>
                <w:bCs/>
                <w:color w:val="000000"/>
                <w:sz w:val="24"/>
                <w:szCs w:val="24"/>
              </w:rPr>
              <w:t>五、开标与评标</w:t>
            </w:r>
          </w:p>
        </w:tc>
      </w:tr>
      <w:tr w14:paraId="60E8B9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vAlign w:val="center"/>
          </w:tcPr>
          <w:p w14:paraId="0637A181">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5.1</w:t>
            </w:r>
          </w:p>
        </w:tc>
        <w:tc>
          <w:tcPr>
            <w:tcW w:w="8498" w:type="dxa"/>
            <w:shd w:val="clear" w:color="auto" w:fill="auto"/>
            <w:vAlign w:val="center"/>
          </w:tcPr>
          <w:p w14:paraId="5CD23E1E">
            <w:pPr>
              <w:ind w:firstLine="480" w:firstLineChars="200"/>
              <w:rPr>
                <w:rFonts w:hint="eastAsia" w:ascii="仿宋" w:hAnsi="仿宋" w:eastAsia="仿宋" w:cs="仿宋"/>
                <w:color w:val="000000"/>
                <w:kern w:val="0"/>
                <w:sz w:val="24"/>
                <w:szCs w:val="24"/>
                <w:lang w:val="zh-CN" w:eastAsia="zh-CN" w:bidi="ar-SA"/>
              </w:rPr>
            </w:pPr>
            <w:r>
              <w:rPr>
                <w:rFonts w:hint="eastAsia" w:ascii="仿宋" w:hAnsi="仿宋" w:eastAsia="仿宋" w:cs="仿宋"/>
                <w:color w:val="000000"/>
                <w:kern w:val="0"/>
                <w:sz w:val="24"/>
                <w:szCs w:val="24"/>
                <w:lang w:val="zh-CN" w:eastAsia="zh-CN" w:bidi="ar-SA"/>
              </w:rPr>
              <w:t>谈判小组由使用科室负责采购人，财务科负责人，代表及采购专家库随机抽取的技术、经济类专家共3人以上单数组成，其中专家人数不得少于成员总数的三分之二。</w:t>
            </w:r>
          </w:p>
        </w:tc>
      </w:tr>
      <w:tr w14:paraId="2B28CB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vAlign w:val="center"/>
          </w:tcPr>
          <w:p w14:paraId="7714EA35">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5.2</w:t>
            </w:r>
          </w:p>
        </w:tc>
        <w:tc>
          <w:tcPr>
            <w:tcW w:w="8498" w:type="dxa"/>
            <w:shd w:val="clear" w:color="auto" w:fill="auto"/>
            <w:vAlign w:val="center"/>
          </w:tcPr>
          <w:p w14:paraId="6DA864B9">
            <w:pP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谈判评审方法：竞争性谈判</w:t>
            </w:r>
          </w:p>
        </w:tc>
      </w:tr>
      <w:tr w14:paraId="2325CC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vAlign w:val="center"/>
          </w:tcPr>
          <w:p w14:paraId="6973229F">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5.3</w:t>
            </w:r>
          </w:p>
        </w:tc>
        <w:tc>
          <w:tcPr>
            <w:tcW w:w="8498" w:type="dxa"/>
            <w:shd w:val="clear" w:color="auto" w:fill="auto"/>
            <w:vAlign w:val="center"/>
          </w:tcPr>
          <w:p w14:paraId="0EB175B3">
            <w:pP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定标原则：最低评标价法</w:t>
            </w:r>
          </w:p>
        </w:tc>
      </w:tr>
      <w:tr w14:paraId="5D8CF6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9263" w:type="dxa"/>
            <w:gridSpan w:val="2"/>
            <w:shd w:val="clear" w:color="auto" w:fill="auto"/>
            <w:vAlign w:val="center"/>
          </w:tcPr>
          <w:p w14:paraId="020511EA">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b/>
                <w:bCs/>
                <w:color w:val="000000"/>
                <w:sz w:val="24"/>
                <w:szCs w:val="24"/>
              </w:rPr>
              <w:t>六、授予合同</w:t>
            </w:r>
          </w:p>
        </w:tc>
      </w:tr>
      <w:tr w14:paraId="4E382B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vAlign w:val="center"/>
          </w:tcPr>
          <w:p w14:paraId="518F0FB7">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6.1</w:t>
            </w:r>
          </w:p>
        </w:tc>
        <w:tc>
          <w:tcPr>
            <w:tcW w:w="8498" w:type="dxa"/>
            <w:shd w:val="clear" w:color="auto" w:fill="auto"/>
            <w:vAlign w:val="center"/>
          </w:tcPr>
          <w:p w14:paraId="4B35B6D6">
            <w:pP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合同签订时间：自《中标通知书》发出之日起</w:t>
            </w:r>
            <w:r>
              <w:rPr>
                <w:rFonts w:hint="eastAsia" w:ascii="仿宋" w:hAnsi="仿宋" w:eastAsia="仿宋" w:cs="仿宋"/>
                <w:color w:val="000000"/>
                <w:sz w:val="24"/>
                <w:szCs w:val="24"/>
                <w:lang w:eastAsia="zh-CN"/>
              </w:rPr>
              <w:t>十五</w:t>
            </w:r>
            <w:r>
              <w:rPr>
                <w:rFonts w:hint="eastAsia" w:ascii="仿宋" w:hAnsi="仿宋" w:eastAsia="仿宋" w:cs="仿宋"/>
                <w:color w:val="000000"/>
                <w:sz w:val="24"/>
                <w:szCs w:val="24"/>
              </w:rPr>
              <w:t>日内</w:t>
            </w:r>
          </w:p>
        </w:tc>
      </w:tr>
      <w:tr w14:paraId="1B213A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vAlign w:val="center"/>
          </w:tcPr>
          <w:p w14:paraId="6F82AA89">
            <w:pPr>
              <w:adjustRightInd w:val="0"/>
              <w:snapToGrid w:val="0"/>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6.2</w:t>
            </w:r>
          </w:p>
        </w:tc>
        <w:tc>
          <w:tcPr>
            <w:tcW w:w="8498" w:type="dxa"/>
            <w:shd w:val="clear" w:color="auto" w:fill="auto"/>
            <w:vAlign w:val="center"/>
          </w:tcPr>
          <w:p w14:paraId="4AEBE0A7">
            <w:pPr>
              <w:adjustRightInd w:val="0"/>
              <w:snapToGrid w:val="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履约保证金：无</w:t>
            </w:r>
          </w:p>
        </w:tc>
      </w:tr>
    </w:tbl>
    <w:p w14:paraId="77040815">
      <w:pPr>
        <w:tabs>
          <w:tab w:val="left" w:pos="7529"/>
        </w:tabs>
        <w:bidi w:val="0"/>
        <w:jc w:val="left"/>
        <w:rPr>
          <w:rFonts w:hint="eastAsia"/>
          <w:lang w:val="en-US" w:eastAsia="zh-CN"/>
        </w:rPr>
      </w:pPr>
    </w:p>
    <w:p w14:paraId="297849EF">
      <w:pPr>
        <w:tabs>
          <w:tab w:val="left" w:pos="7529"/>
        </w:tabs>
        <w:bidi w:val="0"/>
        <w:jc w:val="left"/>
        <w:rPr>
          <w:rFonts w:hint="eastAsia"/>
          <w:lang w:val="en-US" w:eastAsia="zh-CN"/>
        </w:rPr>
      </w:pPr>
    </w:p>
    <w:p w14:paraId="5BD638A1">
      <w:pPr>
        <w:tabs>
          <w:tab w:val="left" w:pos="7529"/>
        </w:tabs>
        <w:bidi w:val="0"/>
        <w:jc w:val="left"/>
        <w:rPr>
          <w:rFonts w:hint="eastAsia"/>
          <w:lang w:val="en-US" w:eastAsia="zh-CN"/>
        </w:rPr>
      </w:pPr>
    </w:p>
    <w:p w14:paraId="4774066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bookmarkStart w:id="5" w:name="_Toc435115053"/>
      <w:bookmarkStart w:id="6" w:name="_Toc435514844"/>
      <w:bookmarkStart w:id="7" w:name="_Toc27840"/>
    </w:p>
    <w:p w14:paraId="585F94F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7DE977B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1D90036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7C01EE9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1529709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60B3133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1DA406DD">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1CC2649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7D726DB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324272B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042C49C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4E0F879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2CA81C9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1B43581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15C44917">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542675B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r>
        <w:rPr>
          <w:rFonts w:hint="eastAsia" w:ascii="宋体" w:hAnsi="宋体" w:eastAsia="宋体" w:cs="宋体"/>
          <w:b/>
          <w:bCs/>
          <w:sz w:val="44"/>
          <w:szCs w:val="44"/>
        </w:rPr>
        <w:t>第三章  评</w:t>
      </w:r>
      <w:r>
        <w:rPr>
          <w:rFonts w:hint="eastAsia" w:ascii="宋体" w:hAnsi="宋体" w:eastAsia="宋体" w:cs="宋体"/>
          <w:b/>
          <w:bCs/>
          <w:sz w:val="44"/>
          <w:szCs w:val="44"/>
          <w:lang w:eastAsia="zh-CN"/>
        </w:rPr>
        <w:t>价</w:t>
      </w:r>
      <w:r>
        <w:rPr>
          <w:rFonts w:hint="eastAsia" w:ascii="宋体" w:hAnsi="宋体" w:eastAsia="宋体" w:cs="宋体"/>
          <w:b/>
          <w:bCs/>
          <w:sz w:val="44"/>
          <w:szCs w:val="44"/>
        </w:rPr>
        <w:t>体系与标准</w:t>
      </w:r>
      <w:bookmarkEnd w:id="5"/>
      <w:bookmarkEnd w:id="6"/>
      <w:bookmarkEnd w:id="7"/>
    </w:p>
    <w:p w14:paraId="4570B042">
      <w:pPr>
        <w:keepNext w:val="0"/>
        <w:keepLines w:val="0"/>
        <w:pageBreakBefore w:val="0"/>
        <w:widowControl w:val="0"/>
        <w:numPr>
          <w:ilvl w:val="0"/>
          <w:numId w:val="0"/>
        </w:numPr>
        <w:tabs>
          <w:tab w:val="left" w:pos="630"/>
        </w:tabs>
        <w:kinsoku/>
        <w:wordWrap/>
        <w:overflowPunct/>
        <w:topLinePunct w:val="0"/>
        <w:autoSpaceDE w:val="0"/>
        <w:autoSpaceDN w:val="0"/>
        <w:bidi w:val="0"/>
        <w:adjustRightInd w:val="0"/>
        <w:snapToGrid w:val="0"/>
        <w:spacing w:line="560" w:lineRule="exact"/>
        <w:ind w:leftChars="0"/>
        <w:textAlignment w:val="auto"/>
        <w:rPr>
          <w:rFonts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本评标办法采用竞争性谈判方法。</w:t>
      </w:r>
    </w:p>
    <w:p w14:paraId="12C3E95B">
      <w:pPr>
        <w:keepNext w:val="0"/>
        <w:keepLines w:val="0"/>
        <w:pageBreakBefore w:val="0"/>
        <w:widowControl w:val="0"/>
        <w:numPr>
          <w:ilvl w:val="0"/>
          <w:numId w:val="0"/>
        </w:numPr>
        <w:tabs>
          <w:tab w:val="left" w:pos="630"/>
        </w:tabs>
        <w:kinsoku/>
        <w:wordWrap/>
        <w:overflowPunct/>
        <w:topLinePunct w:val="0"/>
        <w:autoSpaceDE w:val="0"/>
        <w:autoSpaceDN w:val="0"/>
        <w:bidi w:val="0"/>
        <w:adjustRightInd w:val="0"/>
        <w:snapToGrid w:val="0"/>
        <w:spacing w:line="560" w:lineRule="exact"/>
        <w:ind w:leftChars="0"/>
        <w:textAlignment w:val="auto"/>
        <w:rPr>
          <w:rFonts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评标步骤：评标委员会先进行投标文件初审，对通过初审的投标文件进行技术、商务及价格的详细评审，最后评标委员会出具评标报告。</w:t>
      </w:r>
    </w:p>
    <w:p w14:paraId="492AC206">
      <w:pPr>
        <w:keepNext w:val="0"/>
        <w:keepLines w:val="0"/>
        <w:pageBreakBefore w:val="0"/>
        <w:widowControl w:val="0"/>
        <w:numPr>
          <w:ilvl w:val="0"/>
          <w:numId w:val="0"/>
        </w:numPr>
        <w:tabs>
          <w:tab w:val="left" w:pos="630"/>
        </w:tabs>
        <w:kinsoku/>
        <w:wordWrap/>
        <w:overflowPunct/>
        <w:topLinePunct w:val="0"/>
        <w:autoSpaceDE w:val="0"/>
        <w:autoSpaceDN w:val="0"/>
        <w:bidi w:val="0"/>
        <w:adjustRightInd w:val="0"/>
        <w:snapToGrid w:val="0"/>
        <w:spacing w:line="560" w:lineRule="exact"/>
        <w:ind w:leftChars="0"/>
        <w:textAlignment w:val="auto"/>
        <w:rPr>
          <w:rFonts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本次谈判采用经评审的最低价法，谈判结束后，所有继续参加谈判的供应商在谈判小组规定的时间内提交最后报价，采购人根据符合采购需求、质量和服务相等且报价最低的原则确定成交供应商。</w:t>
      </w:r>
    </w:p>
    <w:p w14:paraId="0C946C3A">
      <w:pPr>
        <w:keepNext w:val="0"/>
        <w:keepLines w:val="0"/>
        <w:pageBreakBefore w:val="0"/>
        <w:widowControl w:val="0"/>
        <w:kinsoku/>
        <w:wordWrap/>
        <w:overflowPunct/>
        <w:topLinePunct w:val="0"/>
        <w:bidi w:val="0"/>
        <w:spacing w:line="560" w:lineRule="exact"/>
        <w:textAlignment w:val="auto"/>
        <w:outlineLvl w:val="0"/>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资格、符合性评审条款</w:t>
      </w:r>
    </w:p>
    <w:tbl>
      <w:tblPr>
        <w:tblStyle w:val="8"/>
        <w:tblW w:w="9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523"/>
        <w:gridCol w:w="1835"/>
        <w:gridCol w:w="5319"/>
      </w:tblGrid>
      <w:tr w14:paraId="31E6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13" w:type="dxa"/>
            <w:tcBorders>
              <w:top w:val="single" w:color="auto" w:sz="12" w:space="0"/>
              <w:left w:val="single" w:color="auto" w:sz="12" w:space="0"/>
            </w:tcBorders>
            <w:vAlign w:val="center"/>
          </w:tcPr>
          <w:p w14:paraId="5D316AF3">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序号</w:t>
            </w:r>
          </w:p>
        </w:tc>
        <w:tc>
          <w:tcPr>
            <w:tcW w:w="1523" w:type="dxa"/>
            <w:tcBorders>
              <w:top w:val="single" w:color="auto" w:sz="12" w:space="0"/>
              <w:right w:val="single" w:color="auto" w:sz="12" w:space="0"/>
            </w:tcBorders>
            <w:vAlign w:val="center"/>
          </w:tcPr>
          <w:p w14:paraId="1AE7F611">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评审目录</w:t>
            </w:r>
          </w:p>
        </w:tc>
        <w:tc>
          <w:tcPr>
            <w:tcW w:w="1835" w:type="dxa"/>
            <w:tcBorders>
              <w:top w:val="single" w:color="auto" w:sz="12" w:space="0"/>
              <w:right w:val="single" w:color="auto" w:sz="12" w:space="0"/>
            </w:tcBorders>
            <w:vAlign w:val="center"/>
          </w:tcPr>
          <w:p w14:paraId="3861379E">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评审因素</w:t>
            </w:r>
          </w:p>
        </w:tc>
        <w:tc>
          <w:tcPr>
            <w:tcW w:w="5319" w:type="dxa"/>
            <w:tcBorders>
              <w:top w:val="single" w:color="auto" w:sz="12" w:space="0"/>
              <w:right w:val="single" w:color="auto" w:sz="12" w:space="0"/>
            </w:tcBorders>
            <w:vAlign w:val="center"/>
          </w:tcPr>
          <w:p w14:paraId="0C1F0090">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评审标准</w:t>
            </w:r>
          </w:p>
        </w:tc>
      </w:tr>
      <w:tr w14:paraId="6F1E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vAlign w:val="center"/>
          </w:tcPr>
          <w:p w14:paraId="665D0A1D">
            <w:pPr>
              <w:keepNext w:val="0"/>
              <w:keepLines w:val="0"/>
              <w:pageBreakBefore w:val="0"/>
              <w:widowControl w:val="0"/>
              <w:numPr>
                <w:ilvl w:val="0"/>
                <w:numId w:val="3"/>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523" w:type="dxa"/>
            <w:vMerge w:val="restart"/>
            <w:tcBorders>
              <w:right w:val="single" w:color="auto" w:sz="12" w:space="0"/>
            </w:tcBorders>
            <w:vAlign w:val="center"/>
          </w:tcPr>
          <w:p w14:paraId="1052CC51">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形式评审标准</w:t>
            </w:r>
          </w:p>
        </w:tc>
        <w:tc>
          <w:tcPr>
            <w:tcW w:w="1835" w:type="dxa"/>
            <w:tcBorders>
              <w:right w:val="single" w:color="auto" w:sz="12" w:space="0"/>
            </w:tcBorders>
            <w:vAlign w:val="center"/>
          </w:tcPr>
          <w:p w14:paraId="3900A95B">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投标供应商名称</w:t>
            </w:r>
          </w:p>
        </w:tc>
        <w:tc>
          <w:tcPr>
            <w:tcW w:w="5319" w:type="dxa"/>
            <w:tcBorders>
              <w:right w:val="single" w:color="auto" w:sz="12" w:space="0"/>
            </w:tcBorders>
            <w:vAlign w:val="center"/>
          </w:tcPr>
          <w:p w14:paraId="55D1D692">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与营业执照、医疗器械经营企业许可证一致</w:t>
            </w:r>
          </w:p>
        </w:tc>
      </w:tr>
      <w:tr w14:paraId="2654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vAlign w:val="center"/>
          </w:tcPr>
          <w:p w14:paraId="4CB69C5E">
            <w:pPr>
              <w:keepNext w:val="0"/>
              <w:keepLines w:val="0"/>
              <w:pageBreakBefore w:val="0"/>
              <w:widowControl w:val="0"/>
              <w:numPr>
                <w:ilvl w:val="0"/>
                <w:numId w:val="3"/>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523" w:type="dxa"/>
            <w:vMerge w:val="continue"/>
            <w:tcBorders>
              <w:right w:val="single" w:color="auto" w:sz="12" w:space="0"/>
            </w:tcBorders>
            <w:vAlign w:val="center"/>
          </w:tcPr>
          <w:p w14:paraId="543B7E5C">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5" w:type="dxa"/>
            <w:tcBorders>
              <w:right w:val="single" w:color="auto" w:sz="12" w:space="0"/>
            </w:tcBorders>
            <w:vAlign w:val="center"/>
          </w:tcPr>
          <w:p w14:paraId="02A20FF6">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投标函签字盖章</w:t>
            </w:r>
          </w:p>
        </w:tc>
        <w:tc>
          <w:tcPr>
            <w:tcW w:w="5319" w:type="dxa"/>
            <w:tcBorders>
              <w:right w:val="single" w:color="auto" w:sz="12" w:space="0"/>
            </w:tcBorders>
            <w:vAlign w:val="center"/>
          </w:tcPr>
          <w:p w14:paraId="1C221A87">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投标文件中要求签字的页面，应由投标供应商的法定代表人或其委托代理人亲笔签署姓名；</w:t>
            </w:r>
            <w:r>
              <w:rPr>
                <w:rFonts w:hint="eastAsia" w:ascii="仿宋" w:hAnsi="仿宋" w:eastAsia="仿宋" w:cs="仿宋"/>
                <w:sz w:val="24"/>
                <w:szCs w:val="24"/>
                <w:lang w:eastAsia="zh-CN"/>
              </w:rPr>
              <w:t>投标文件均需加盖投标</w:t>
            </w:r>
            <w:r>
              <w:rPr>
                <w:rFonts w:hint="eastAsia" w:ascii="仿宋" w:hAnsi="仿宋" w:eastAsia="仿宋" w:cs="仿宋"/>
                <w:sz w:val="24"/>
                <w:szCs w:val="24"/>
              </w:rPr>
              <w:t>单位公章。</w:t>
            </w:r>
          </w:p>
        </w:tc>
      </w:tr>
      <w:tr w14:paraId="1789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vAlign w:val="center"/>
          </w:tcPr>
          <w:p w14:paraId="05E36416">
            <w:pPr>
              <w:keepNext w:val="0"/>
              <w:keepLines w:val="0"/>
              <w:pageBreakBefore w:val="0"/>
              <w:widowControl w:val="0"/>
              <w:numPr>
                <w:ilvl w:val="0"/>
                <w:numId w:val="3"/>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523" w:type="dxa"/>
            <w:vMerge w:val="restart"/>
            <w:tcBorders>
              <w:right w:val="single" w:color="auto" w:sz="12" w:space="0"/>
            </w:tcBorders>
            <w:vAlign w:val="center"/>
          </w:tcPr>
          <w:p w14:paraId="40F05FEF">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资格评审标准</w:t>
            </w:r>
          </w:p>
        </w:tc>
        <w:tc>
          <w:tcPr>
            <w:tcW w:w="1835" w:type="dxa"/>
            <w:tcBorders>
              <w:right w:val="single" w:color="auto" w:sz="12" w:space="0"/>
            </w:tcBorders>
            <w:vAlign w:val="center"/>
          </w:tcPr>
          <w:p w14:paraId="6B552F76">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营业执照</w:t>
            </w:r>
          </w:p>
        </w:tc>
        <w:tc>
          <w:tcPr>
            <w:tcW w:w="5319" w:type="dxa"/>
            <w:tcBorders>
              <w:right w:val="single" w:color="auto" w:sz="12" w:space="0"/>
            </w:tcBorders>
            <w:vAlign w:val="center"/>
          </w:tcPr>
          <w:p w14:paraId="370F7A84">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具备有效的营业执照</w:t>
            </w:r>
          </w:p>
        </w:tc>
      </w:tr>
      <w:tr w14:paraId="2AC7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vAlign w:val="center"/>
          </w:tcPr>
          <w:p w14:paraId="0024DDCE">
            <w:pPr>
              <w:keepNext w:val="0"/>
              <w:keepLines w:val="0"/>
              <w:pageBreakBefore w:val="0"/>
              <w:widowControl w:val="0"/>
              <w:numPr>
                <w:ilvl w:val="0"/>
                <w:numId w:val="3"/>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kern w:val="0"/>
                <w:sz w:val="24"/>
                <w:szCs w:val="24"/>
              </w:rPr>
            </w:pPr>
          </w:p>
        </w:tc>
        <w:tc>
          <w:tcPr>
            <w:tcW w:w="1523" w:type="dxa"/>
            <w:vMerge w:val="continue"/>
            <w:tcBorders>
              <w:right w:val="single" w:color="auto" w:sz="12" w:space="0"/>
            </w:tcBorders>
            <w:vAlign w:val="center"/>
          </w:tcPr>
          <w:p w14:paraId="246B9F6B">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5" w:type="dxa"/>
            <w:tcBorders>
              <w:right w:val="single" w:color="auto" w:sz="12" w:space="0"/>
            </w:tcBorders>
            <w:vAlign w:val="center"/>
          </w:tcPr>
          <w:p w14:paraId="17189D7E">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资格要求</w:t>
            </w:r>
          </w:p>
        </w:tc>
        <w:tc>
          <w:tcPr>
            <w:tcW w:w="5319" w:type="dxa"/>
            <w:tcBorders>
              <w:right w:val="single" w:color="auto" w:sz="12" w:space="0"/>
            </w:tcBorders>
            <w:vAlign w:val="center"/>
          </w:tcPr>
          <w:p w14:paraId="0404260A">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投标供应商须取得取得行政主管部门颁发的医疗器械经营许可证或医疗器械生产企业许可证（或备案凭证）；投标产品须取得相应的行政主管部门颁发的医疗器械产品注册证或备案证（国家有要求的产品）。</w:t>
            </w:r>
          </w:p>
        </w:tc>
      </w:tr>
      <w:tr w14:paraId="0F4B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6" w:hRule="atLeast"/>
          <w:jc w:val="center"/>
        </w:trPr>
        <w:tc>
          <w:tcPr>
            <w:tcW w:w="713" w:type="dxa"/>
            <w:tcBorders>
              <w:left w:val="single" w:color="auto" w:sz="12" w:space="0"/>
            </w:tcBorders>
            <w:vAlign w:val="center"/>
          </w:tcPr>
          <w:p w14:paraId="042495D7">
            <w:pPr>
              <w:keepNext w:val="0"/>
              <w:keepLines w:val="0"/>
              <w:pageBreakBefore w:val="0"/>
              <w:widowControl w:val="0"/>
              <w:numPr>
                <w:ilvl w:val="0"/>
                <w:numId w:val="3"/>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bookmarkStart w:id="8" w:name="auto_fouce_9" w:colFirst="2" w:colLast="3"/>
          </w:p>
        </w:tc>
        <w:tc>
          <w:tcPr>
            <w:tcW w:w="1523" w:type="dxa"/>
            <w:vMerge w:val="continue"/>
            <w:tcBorders>
              <w:right w:val="single" w:color="auto" w:sz="12" w:space="0"/>
            </w:tcBorders>
            <w:vAlign w:val="center"/>
          </w:tcPr>
          <w:p w14:paraId="15D7D237">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5" w:type="dxa"/>
            <w:tcBorders>
              <w:right w:val="single" w:color="auto" w:sz="12" w:space="0"/>
            </w:tcBorders>
            <w:vAlign w:val="center"/>
          </w:tcPr>
          <w:p w14:paraId="2B62EA9B">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财务要求</w:t>
            </w:r>
          </w:p>
        </w:tc>
        <w:tc>
          <w:tcPr>
            <w:tcW w:w="5319" w:type="dxa"/>
            <w:tcBorders>
              <w:right w:val="single" w:color="auto" w:sz="12" w:space="0"/>
            </w:tcBorders>
            <w:vAlign w:val="center"/>
          </w:tcPr>
          <w:p w14:paraId="229CCC83">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财务状况良好且无亏损。投标人为成立不足1年的新成立企业的，须提供成立至今的月或季度财务报表复印件；无法提供前述报表的，可提供自本招标公告发布之日起由投标人基本开户银行出具的资信证明原件，资信证明可视为满足财务状况良好的评审要求。</w:t>
            </w:r>
          </w:p>
        </w:tc>
      </w:tr>
      <w:bookmarkEnd w:id="8"/>
      <w:tr w14:paraId="71CB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vAlign w:val="center"/>
          </w:tcPr>
          <w:p w14:paraId="69E9A336">
            <w:pPr>
              <w:keepNext w:val="0"/>
              <w:keepLines w:val="0"/>
              <w:pageBreakBefore w:val="0"/>
              <w:widowControl w:val="0"/>
              <w:numPr>
                <w:ilvl w:val="0"/>
                <w:numId w:val="3"/>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bookmarkStart w:id="9" w:name="auto_fouce_10" w:colFirst="2" w:colLast="3"/>
          </w:p>
        </w:tc>
        <w:tc>
          <w:tcPr>
            <w:tcW w:w="1523" w:type="dxa"/>
            <w:vMerge w:val="restart"/>
            <w:tcBorders>
              <w:right w:val="single" w:color="auto" w:sz="12" w:space="0"/>
            </w:tcBorders>
            <w:vAlign w:val="center"/>
          </w:tcPr>
          <w:p w14:paraId="4FC85522">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5" w:type="dxa"/>
            <w:tcBorders>
              <w:right w:val="single" w:color="auto" w:sz="12" w:space="0"/>
            </w:tcBorders>
            <w:vAlign w:val="center"/>
          </w:tcPr>
          <w:p w14:paraId="6723E44C">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信誉要求</w:t>
            </w:r>
          </w:p>
        </w:tc>
        <w:tc>
          <w:tcPr>
            <w:tcW w:w="5319" w:type="dxa"/>
            <w:tcBorders>
              <w:right w:val="single" w:color="auto" w:sz="12" w:space="0"/>
            </w:tcBorders>
            <w:vAlign w:val="center"/>
          </w:tcPr>
          <w:p w14:paraId="0034220B">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投标供应商在“信用中国”网站（www.creditchina.gov.cn）上未被列入失信被执行人、重大税收违法案件当事人名单、中国政府采购网（www.ccgp.gov.cn）上未被列入政府采购严重违法失信行为记录名单的不良行为记录；中国裁判文书网（http://wenshu.court.gov.cn/渠道查询无不良记录；信用查询结果以投标截止日当日的查询结果为准，查询结果截图需清晰可辨，否则视为不符合信誉要求。</w:t>
            </w:r>
          </w:p>
        </w:tc>
      </w:tr>
      <w:bookmarkEnd w:id="9"/>
      <w:tr w14:paraId="62597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vAlign w:val="center"/>
          </w:tcPr>
          <w:p w14:paraId="324E5046">
            <w:pPr>
              <w:keepNext w:val="0"/>
              <w:keepLines w:val="0"/>
              <w:pageBreakBefore w:val="0"/>
              <w:widowControl w:val="0"/>
              <w:numPr>
                <w:ilvl w:val="0"/>
                <w:numId w:val="3"/>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523" w:type="dxa"/>
            <w:vMerge w:val="restart"/>
            <w:tcBorders>
              <w:right w:val="single" w:color="auto" w:sz="12" w:space="0"/>
            </w:tcBorders>
            <w:vAlign w:val="center"/>
          </w:tcPr>
          <w:p w14:paraId="393DCB47">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响应性</w:t>
            </w:r>
          </w:p>
          <w:p w14:paraId="244F857A">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评审</w:t>
            </w:r>
          </w:p>
          <w:p w14:paraId="07AFC472">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标准</w:t>
            </w:r>
          </w:p>
          <w:p w14:paraId="2AA75BBD">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5" w:type="dxa"/>
            <w:tcBorders>
              <w:right w:val="single" w:color="auto" w:sz="12" w:space="0"/>
            </w:tcBorders>
            <w:vAlign w:val="center"/>
          </w:tcPr>
          <w:p w14:paraId="121713BD">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投标报价</w:t>
            </w:r>
          </w:p>
        </w:tc>
        <w:tc>
          <w:tcPr>
            <w:tcW w:w="5319" w:type="dxa"/>
            <w:tcBorders>
              <w:right w:val="single" w:color="auto" w:sz="12" w:space="0"/>
            </w:tcBorders>
            <w:vAlign w:val="center"/>
          </w:tcPr>
          <w:p w14:paraId="54448F26">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招标人设有招标控制价的，投标供应商的投标报价不得超过招标控制价</w:t>
            </w:r>
          </w:p>
        </w:tc>
      </w:tr>
      <w:tr w14:paraId="5FB7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vAlign w:val="center"/>
          </w:tcPr>
          <w:p w14:paraId="1141E11C">
            <w:pPr>
              <w:keepNext w:val="0"/>
              <w:keepLines w:val="0"/>
              <w:pageBreakBefore w:val="0"/>
              <w:widowControl w:val="0"/>
              <w:numPr>
                <w:ilvl w:val="0"/>
                <w:numId w:val="3"/>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bookmarkStart w:id="10" w:name="auto_fouce_11" w:colFirst="2" w:colLast="3"/>
          </w:p>
        </w:tc>
        <w:tc>
          <w:tcPr>
            <w:tcW w:w="1523" w:type="dxa"/>
            <w:vMerge w:val="continue"/>
            <w:tcBorders>
              <w:right w:val="single" w:color="auto" w:sz="12" w:space="0"/>
            </w:tcBorders>
            <w:vAlign w:val="center"/>
          </w:tcPr>
          <w:p w14:paraId="7047CE9D">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5" w:type="dxa"/>
            <w:tcBorders>
              <w:right w:val="single" w:color="auto" w:sz="12" w:space="0"/>
            </w:tcBorders>
            <w:vAlign w:val="center"/>
          </w:tcPr>
          <w:p w14:paraId="33274B52">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交货期</w:t>
            </w:r>
          </w:p>
        </w:tc>
        <w:tc>
          <w:tcPr>
            <w:tcW w:w="5319" w:type="dxa"/>
            <w:tcBorders>
              <w:right w:val="single" w:color="auto" w:sz="12" w:space="0"/>
            </w:tcBorders>
            <w:vAlign w:val="center"/>
          </w:tcPr>
          <w:p w14:paraId="1FD418F7">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合同签订后</w:t>
            </w:r>
            <w:r>
              <w:rPr>
                <w:rFonts w:hint="eastAsia" w:ascii="仿宋" w:hAnsi="仿宋" w:eastAsia="仿宋" w:cs="仿宋"/>
                <w:sz w:val="24"/>
                <w:szCs w:val="24"/>
                <w:lang w:val="en-US" w:eastAsia="zh-CN"/>
              </w:rPr>
              <w:t>15</w:t>
            </w:r>
            <w:r>
              <w:rPr>
                <w:rFonts w:hint="eastAsia" w:ascii="仿宋" w:hAnsi="仿宋" w:eastAsia="仿宋" w:cs="仿宋"/>
                <w:sz w:val="24"/>
                <w:szCs w:val="24"/>
              </w:rPr>
              <w:t>个工作日内安装调试完毕并交付使用。</w:t>
            </w:r>
          </w:p>
        </w:tc>
      </w:tr>
      <w:bookmarkEnd w:id="10"/>
    </w:tbl>
    <w:p w14:paraId="564AEA7A">
      <w:pPr>
        <w:tabs>
          <w:tab w:val="left" w:pos="7529"/>
        </w:tabs>
        <w:bidi w:val="0"/>
        <w:jc w:val="left"/>
        <w:rPr>
          <w:rFonts w:hint="eastAsia"/>
          <w:lang w:val="en-US" w:eastAsia="zh-CN"/>
        </w:rPr>
      </w:pPr>
    </w:p>
    <w:p w14:paraId="711A8753">
      <w:pPr>
        <w:tabs>
          <w:tab w:val="left" w:pos="7529"/>
        </w:tabs>
        <w:bidi w:val="0"/>
        <w:jc w:val="left"/>
        <w:rPr>
          <w:rFonts w:hint="eastAsia"/>
          <w:lang w:val="en-US" w:eastAsia="zh-CN"/>
        </w:rPr>
      </w:pPr>
    </w:p>
    <w:p w14:paraId="77ED4060">
      <w:pPr>
        <w:tabs>
          <w:tab w:val="left" w:pos="7529"/>
        </w:tabs>
        <w:bidi w:val="0"/>
        <w:jc w:val="left"/>
        <w:rPr>
          <w:rFonts w:hint="eastAsia"/>
          <w:lang w:val="en-US" w:eastAsia="zh-CN"/>
        </w:rPr>
      </w:pPr>
    </w:p>
    <w:p w14:paraId="4B05EA1D">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03702505">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45140159">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2EB89967">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2C55D772">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36BC98BE">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27E8985B">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0E97CBD2">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52059F77">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156E6D90">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7467376C">
      <w:pPr>
        <w:pStyle w:val="3"/>
        <w:numPr>
          <w:ilvl w:val="0"/>
          <w:numId w:val="0"/>
        </w:numPr>
        <w:spacing w:line="360" w:lineRule="auto"/>
        <w:jc w:val="center"/>
        <w:rPr>
          <w:rFonts w:hint="eastAsia" w:ascii="宋体" w:hAnsi="宋体" w:eastAsia="宋体" w:cs="宋体"/>
          <w:b/>
          <w:bCs/>
          <w:sz w:val="44"/>
          <w:szCs w:val="44"/>
        </w:rPr>
      </w:pPr>
      <w:r>
        <w:rPr>
          <w:rFonts w:hint="eastAsia" w:ascii="宋体" w:hAnsi="宋体" w:eastAsia="宋体" w:cs="宋体"/>
          <w:b/>
          <w:bCs/>
          <w:kern w:val="0"/>
          <w:sz w:val="44"/>
          <w:szCs w:val="44"/>
          <w:lang w:val="en-US" w:eastAsia="zh-CN" w:bidi="ar-SA"/>
        </w:rPr>
        <w:t xml:space="preserve">第四章  </w:t>
      </w:r>
      <w:r>
        <w:rPr>
          <w:rFonts w:hint="eastAsia" w:ascii="宋体" w:hAnsi="宋体" w:eastAsia="宋体" w:cs="宋体"/>
          <w:b/>
          <w:bCs/>
          <w:sz w:val="44"/>
          <w:szCs w:val="44"/>
        </w:rPr>
        <w:t>技术参数说明</w:t>
      </w:r>
    </w:p>
    <w:p w14:paraId="2ED7DB1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1.有效氯浓度:可调范围宽(例如5mg/L至100mg/L以上)PH值:微酸性范围(如5.0-6.9)，可调和自动转换，生成量根据需求选择。</w:t>
      </w:r>
    </w:p>
    <w:p w14:paraId="3EDD9A1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2</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供水要求:需配套水处理系统，产水质量需为软水/超滤水</w:t>
      </w:r>
    </w:p>
    <w:p w14:paraId="347E776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3.自动化运行:全自动运行、实时监测：实时监测并显示消毒液浓度pH值、流量等关键参数</w:t>
      </w:r>
    </w:p>
    <w:p w14:paraId="03766AA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4.智能预警:系统异常即系统异常即时报警，确保消毒质量，智能控制</w:t>
      </w:r>
    </w:p>
    <w:p w14:paraId="7A7EB72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5.设备安全:具备漏液报警停机、无水保护、过载安全保护。</w:t>
      </w:r>
      <w:bookmarkStart w:id="11" w:name="auto_fouce_12"/>
      <w:bookmarkEnd w:id="11"/>
    </w:p>
    <w:p w14:paraId="2FDEE13B">
      <w:pPr>
        <w:tabs>
          <w:tab w:val="left" w:pos="7529"/>
        </w:tabs>
        <w:bidi w:val="0"/>
        <w:jc w:val="left"/>
        <w:rPr>
          <w:rFonts w:hint="eastAsia"/>
          <w:lang w:val="en-US" w:eastAsia="zh-CN"/>
        </w:rPr>
      </w:pPr>
    </w:p>
    <w:sectPr>
      <w:headerReference r:id="rId3" w:type="default"/>
      <w:footerReference r:id="rId4" w:type="default"/>
      <w:pgSz w:w="11906" w:h="16838"/>
      <w:pgMar w:top="2098" w:right="1474" w:bottom="144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9AC99">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93B277">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93B277">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687FC">
    <w:pPr>
      <w:pStyle w:val="6"/>
    </w:pPr>
    <w:r>
      <w:rPr>
        <w:rFonts w:hint="eastAsia" w:eastAsia="宋体"/>
        <w:lang w:eastAsia="zh-CN"/>
      </w:rPr>
      <w:drawing>
        <wp:inline distT="0" distB="0" distL="114300" distR="114300">
          <wp:extent cx="3762375" cy="845820"/>
          <wp:effectExtent l="0" t="0" r="0" b="0"/>
          <wp:docPr id="2" name="图片 1" descr="e074a456bc92fef944acdaf3e87d4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e074a456bc92fef944acdaf3e87d4ef"/>
                  <pic:cNvPicPr>
                    <a:picLocks noChangeAspect="1"/>
                  </pic:cNvPicPr>
                </pic:nvPicPr>
                <pic:blipFill>
                  <a:blip r:embed="rId1"/>
                  <a:stretch>
                    <a:fillRect/>
                  </a:stretch>
                </pic:blipFill>
                <pic:spPr>
                  <a:xfrm>
                    <a:off x="0" y="0"/>
                    <a:ext cx="3762375" cy="84582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78C6B9"/>
    <w:multiLevelType w:val="singleLevel"/>
    <w:tmpl w:val="0878C6B9"/>
    <w:lvl w:ilvl="0" w:tentative="0">
      <w:start w:val="1"/>
      <w:numFmt w:val="chineseCounting"/>
      <w:suff w:val="space"/>
      <w:lvlText w:val="第%1章"/>
      <w:lvlJc w:val="left"/>
      <w:rPr>
        <w:rFonts w:hint="eastAsia"/>
      </w:rPr>
    </w:lvl>
  </w:abstractNum>
  <w:abstractNum w:abstractNumId="1">
    <w:nsid w:val="48800F0F"/>
    <w:multiLevelType w:val="multilevel"/>
    <w:tmpl w:val="48800F0F"/>
    <w:lvl w:ilvl="0" w:tentative="0">
      <w:start w:val="1"/>
      <w:numFmt w:val="decimal"/>
      <w:lvlText w:val="%1."/>
      <w:lvlJc w:val="left"/>
      <w:pPr>
        <w:tabs>
          <w:tab w:val="left" w:pos="425"/>
        </w:tabs>
        <w:ind w:left="425" w:hanging="425"/>
      </w:pPr>
      <w:rPr>
        <w:rFonts w:hint="eastAsia" w:cs="Times New Roman"/>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pStyle w:val="12"/>
      <w:lvlText w:val="%1.%2.%3.%4"/>
      <w:lvlJc w:val="left"/>
      <w:pPr>
        <w:tabs>
          <w:tab w:val="left" w:pos="2328"/>
        </w:tabs>
        <w:ind w:left="2328"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2">
    <w:nsid w:val="64253DA1"/>
    <w:multiLevelType w:val="multilevel"/>
    <w:tmpl w:val="64253DA1"/>
    <w:lvl w:ilvl="0" w:tentative="0">
      <w:start w:val="1"/>
      <w:numFmt w:val="decimal"/>
      <w:lvlText w:val="%1"/>
      <w:lvlJc w:val="left"/>
      <w:pPr>
        <w:tabs>
          <w:tab w:val="left" w:pos="420"/>
        </w:tabs>
        <w:ind w:left="42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696C81"/>
    <w:rsid w:val="06696C81"/>
    <w:rsid w:val="0D154194"/>
    <w:rsid w:val="51354346"/>
    <w:rsid w:val="74FD4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3"/>
    <w:basedOn w:val="1"/>
    <w:qFormat/>
    <w:uiPriority w:val="0"/>
    <w:pPr>
      <w:spacing w:after="120"/>
    </w:pPr>
    <w:rPr>
      <w:sz w:val="16"/>
      <w:szCs w:val="16"/>
    </w:rPr>
  </w:style>
  <w:style w:type="paragraph" w:styleId="3">
    <w:name w:val="Body Text"/>
    <w:basedOn w:val="1"/>
    <w:qFormat/>
    <w:uiPriority w:val="99"/>
    <w:pPr>
      <w:spacing w:after="120"/>
    </w:pPr>
    <w:rPr>
      <w:kern w:val="0"/>
      <w:szCs w:val="20"/>
    </w:rPr>
  </w:style>
  <w:style w:type="paragraph" w:styleId="4">
    <w:name w:val="Plain Text"/>
    <w:basedOn w:val="1"/>
    <w:qFormat/>
    <w:uiPriority w:val="99"/>
    <w:rPr>
      <w:rFonts w:ascii="宋体" w:hAnsi="Courier New"/>
      <w:kern w:val="0"/>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semiHidden/>
    <w:qFormat/>
    <w:uiPriority w:val="99"/>
    <w:pPr>
      <w:spacing w:before="120" w:after="120"/>
      <w:jc w:val="left"/>
    </w:pPr>
    <w:rPr>
      <w:rFonts w:ascii="Calibri" w:hAnsi="Calibri" w:cs="Calibri"/>
      <w:b/>
      <w:bCs/>
      <w:caps/>
    </w:rPr>
  </w:style>
  <w:style w:type="character" w:styleId="10">
    <w:name w:val="Hyperlink"/>
    <w:basedOn w:val="9"/>
    <w:qFormat/>
    <w:uiPriority w:val="99"/>
    <w:rPr>
      <w:rFonts w:eastAsia="宋体" w:cs="Times New Roman"/>
      <w:color w:val="0000FF"/>
      <w:sz w:val="28"/>
      <w:u w:val="single"/>
    </w:rPr>
  </w:style>
  <w:style w:type="character" w:styleId="11">
    <w:name w:val="annotation reference"/>
    <w:basedOn w:val="9"/>
    <w:qFormat/>
    <w:uiPriority w:val="0"/>
    <w:rPr>
      <w:sz w:val="16"/>
      <w:szCs w:val="16"/>
    </w:rPr>
  </w:style>
  <w:style w:type="paragraph" w:customStyle="1" w:styleId="12">
    <w:name w:val="样式4"/>
    <w:basedOn w:val="1"/>
    <w:qFormat/>
    <w:uiPriority w:val="99"/>
    <w:pPr>
      <w:numPr>
        <w:ilvl w:val="3"/>
        <w:numId w:val="1"/>
      </w:numPr>
    </w:pPr>
  </w:style>
  <w:style w:type="paragraph" w:customStyle="1" w:styleId="13">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2383</Words>
  <Characters>2588</Characters>
  <Lines>0</Lines>
  <Paragraphs>0</Paragraphs>
  <TotalTime>1</TotalTime>
  <ScaleCrop>false</ScaleCrop>
  <LinksUpToDate>false</LinksUpToDate>
  <CharactersWithSpaces>2632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2026-08-05T01:55:00Z</dcterms:created>
  <dc:creator>Ani</dc:creator>
  <cp:lastModifiedBy>Ulalalalalala</cp:lastModifiedBy>
  <dcterms:modified xsi:type="dcterms:W3CDTF">2026-08-05T03:50:11Z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325C8999DD87416C90DCEFE1EDE09ED8_13</vt:lpwstr>
  </property>
  <property fmtid="{D5CDD505-2E9C-101B-9397-08002B2CF9AE}" pid="4" name="KSOTemplateDocerSaveRecord">
    <vt:lpwstr>eyJoZGlkIjoiNzMwNjM4Nzc0NWIxY2NiMzY1NjI1ZTQ5NTI2MTE5ZDUiLCJ1c2VySWQiOiIxMjcwNTMxNjIwIn0=</vt:lpwstr>
  </property>
</Properties>
</file>